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EE" w:rsidRDefault="00DB1A33" w:rsidP="00FA6B91">
      <w:pPr>
        <w:spacing w:line="840" w:lineRule="exact"/>
        <w:ind w:rightChars="1200" w:right="2520"/>
        <w:textAlignment w:val="top"/>
        <w:rPr>
          <w:rFonts w:eastAsia="文星简美黑"/>
          <w:b/>
          <w:color w:val="FF0000"/>
          <w:w w:val="91"/>
          <w:sz w:val="52"/>
          <w:szCs w:val="52"/>
        </w:rPr>
      </w:pPr>
      <w:r w:rsidRPr="00DB1A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0.75pt;margin-top:31.2pt;width:99.75pt;height:78pt;z-index:251656704" stroked="f">
            <v:textbox>
              <w:txbxContent>
                <w:p w:rsidR="00C83DEE" w:rsidRDefault="00C83DEE">
                  <w:pPr>
                    <w:rPr>
                      <w:b/>
                      <w:color w:val="FF0000"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color w:val="FF0000"/>
                      <w:sz w:val="84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青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岛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市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委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组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织</w:t>
      </w:r>
      <w:r w:rsidR="00C83DEE">
        <w:rPr>
          <w:rFonts w:eastAsia="文星简美黑"/>
          <w:b/>
          <w:color w:val="FF0000"/>
          <w:w w:val="91"/>
          <w:sz w:val="52"/>
          <w:szCs w:val="52"/>
        </w:rPr>
        <w:t xml:space="preserve">  </w:t>
      </w:r>
      <w:r w:rsidR="00C83DEE">
        <w:rPr>
          <w:rFonts w:eastAsia="文星简美黑" w:hint="eastAsia"/>
          <w:b/>
          <w:color w:val="FF0000"/>
          <w:w w:val="91"/>
          <w:sz w:val="52"/>
          <w:szCs w:val="52"/>
        </w:rPr>
        <w:t>部</w:t>
      </w:r>
    </w:p>
    <w:p w:rsidR="00C83DEE" w:rsidRDefault="00C83DEE" w:rsidP="00FA6B91">
      <w:pPr>
        <w:spacing w:line="840" w:lineRule="exact"/>
        <w:ind w:rightChars="1200" w:right="2520"/>
        <w:jc w:val="distribute"/>
        <w:textAlignment w:val="top"/>
        <w:rPr>
          <w:rFonts w:eastAsia="文星简美黑"/>
          <w:b/>
          <w:color w:val="FF0000"/>
          <w:w w:val="80"/>
          <w:sz w:val="52"/>
          <w:szCs w:val="52"/>
        </w:rPr>
      </w:pPr>
      <w:r>
        <w:rPr>
          <w:rFonts w:eastAsia="文星简美黑" w:hint="eastAsia"/>
          <w:b/>
          <w:color w:val="FF0000"/>
          <w:w w:val="80"/>
          <w:sz w:val="52"/>
          <w:szCs w:val="52"/>
        </w:rPr>
        <w:t>青岛市人力资源和社会保障局</w:t>
      </w:r>
    </w:p>
    <w:p w:rsidR="00C83DEE" w:rsidRDefault="00C83DEE" w:rsidP="00FA6B91">
      <w:pPr>
        <w:spacing w:line="840" w:lineRule="exact"/>
        <w:ind w:rightChars="1200" w:right="2520"/>
        <w:jc w:val="distribute"/>
        <w:textAlignment w:val="top"/>
        <w:rPr>
          <w:rFonts w:eastAsia="文星简美黑"/>
          <w:b/>
          <w:color w:val="FF0000"/>
          <w:w w:val="80"/>
          <w:sz w:val="52"/>
          <w:szCs w:val="52"/>
        </w:rPr>
      </w:pPr>
      <w:r>
        <w:rPr>
          <w:rFonts w:eastAsia="文星简美黑" w:hint="eastAsia"/>
          <w:b/>
          <w:color w:val="FF0000"/>
          <w:w w:val="80"/>
          <w:sz w:val="52"/>
          <w:szCs w:val="52"/>
        </w:rPr>
        <w:t>青岛市财政局</w:t>
      </w:r>
    </w:p>
    <w:p w:rsidR="00C83DEE" w:rsidRDefault="00C83DEE">
      <w:pPr>
        <w:widowControl/>
        <w:spacing w:line="560" w:lineRule="exact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 w:rsidR="00C83DEE" w:rsidRDefault="00C83DEE" w:rsidP="00FA6B91">
      <w:pPr>
        <w:widowControl/>
        <w:spacing w:line="560" w:lineRule="exact"/>
        <w:ind w:firstLineChars="800" w:firstLine="256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青人社办字〔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79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号</w:t>
      </w:r>
    </w:p>
    <w:p w:rsidR="00C83DEE" w:rsidRDefault="00C83DEE">
      <w:pPr>
        <w:spacing w:line="700" w:lineRule="exact"/>
        <w:rPr>
          <w:rFonts w:ascii="仿宋_GB2312" w:eastAsia="仿宋_GB2312"/>
          <w:bCs/>
          <w:color w:val="FF0000"/>
          <w:sz w:val="30"/>
        </w:rPr>
      </w:pPr>
      <w:r>
        <w:rPr>
          <w:rFonts w:ascii="仿宋_GB2312" w:eastAsia="仿宋_GB2312" w:hint="eastAsia"/>
          <w:bCs/>
          <w:color w:val="FF0000"/>
          <w:sz w:val="30"/>
        </w:rPr>
        <w:t>─────────────────────────────</w:t>
      </w:r>
    </w:p>
    <w:p w:rsidR="00C83DEE" w:rsidRDefault="00C83DE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关于公布在青就业研究生住房补贴发放</w:t>
      </w:r>
    </w:p>
    <w:p w:rsidR="00C83DEE" w:rsidRDefault="00C83DE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紧缺专业目录的通知</w:t>
      </w:r>
    </w:p>
    <w:p w:rsidR="00C83DEE" w:rsidRDefault="00C83DE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3DEE" w:rsidRDefault="00C83DEE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各区市委组织部、人力资源社会保障局、财政局、各有关单位：</w:t>
      </w:r>
    </w:p>
    <w:p w:rsidR="00C83DEE" w:rsidRDefault="00C83DEE">
      <w:pPr>
        <w:spacing w:line="560" w:lineRule="exact"/>
        <w:rPr>
          <w:rFonts w:ascii="宋体"/>
          <w:sz w:val="28"/>
          <w:szCs w:val="2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根据《关于在青就业研究生住房补贴有关问题的通知》（青人社字〔</w:t>
      </w:r>
      <w:r>
        <w:rPr>
          <w:rFonts w:ascii="仿宋_GB2312" w:eastAsia="仿宋_GB2312" w:hAnsi="宋体" w:cs="宋体"/>
          <w:kern w:val="0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/>
          <w:kern w:val="0"/>
          <w:sz w:val="32"/>
          <w:szCs w:val="32"/>
        </w:rPr>
        <w:t>56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号）有关要求，现将《在青就业研究生住房补贴发放紧缺专业目录》予以公布，请遵照执行。此目录有效期至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rFonts w:ascii="仿宋_GB2312" w:eastAsia="仿宋_GB2312" w:hAnsi="宋体" w:cs="宋体"/>
            <w:kern w:val="0"/>
            <w:sz w:val="32"/>
            <w:szCs w:val="32"/>
          </w:rPr>
          <w:t>2017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年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12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月</w:t>
        </w:r>
        <w:r>
          <w:rPr>
            <w:rFonts w:ascii="仿宋_GB2312" w:eastAsia="仿宋_GB2312" w:hAnsi="宋体" w:cs="宋体"/>
            <w:kern w:val="0"/>
            <w:sz w:val="32"/>
            <w:szCs w:val="32"/>
          </w:rPr>
          <w:t>31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日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。《在青就业研究生住房补贴发放紧缺专业目录》将结合青岛市人才需求情况适时调整，原则上每年公布一次。</w:t>
      </w:r>
    </w:p>
    <w:p w:rsidR="00C83DEE" w:rsidRDefault="00C83DEE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C83DEE" w:rsidRDefault="00C83DE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83DEE" w:rsidRDefault="00C83DE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青岛市委组织部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青岛市人力资源和</w:t>
      </w:r>
      <w:r>
        <w:rPr>
          <w:rFonts w:ascii="仿宋_GB2312" w:eastAsia="仿宋_GB2312" w:hAnsi="宋体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青岛市财政局</w:t>
      </w:r>
      <w:r>
        <w:rPr>
          <w:rFonts w:ascii="仿宋_GB2312" w:eastAsia="仿宋_GB2312"/>
          <w:sz w:val="32"/>
          <w:szCs w:val="32"/>
        </w:rPr>
        <w:t xml:space="preserve">    </w:t>
      </w:r>
    </w:p>
    <w:p w:rsidR="00C83DEE" w:rsidRDefault="00C83DEE" w:rsidP="00FA6B91">
      <w:pPr>
        <w:spacing w:line="560" w:lineRule="exact"/>
        <w:ind w:firstLineChars="1100" w:firstLine="35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社会保障局</w:t>
      </w:r>
      <w:r>
        <w:rPr>
          <w:rFonts w:ascii="仿宋_GB2312" w:eastAsia="仿宋_GB2312" w:hAnsi="宋体"/>
          <w:sz w:val="32"/>
          <w:szCs w:val="32"/>
        </w:rPr>
        <w:t xml:space="preserve">         </w:t>
      </w:r>
    </w:p>
    <w:p w:rsidR="00C83DEE" w:rsidRDefault="00C83DEE" w:rsidP="00FA6B91">
      <w:pPr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</w:p>
    <w:p w:rsidR="00C83DEE" w:rsidRDefault="00C83DEE" w:rsidP="00FA6B91">
      <w:pPr>
        <w:spacing w:line="560" w:lineRule="exact"/>
        <w:ind w:firstLineChars="1700" w:firstLine="5440"/>
        <w:rPr>
          <w:rFonts w:ascii="微软雅黑" w:eastAsia="微软雅黑"/>
          <w:b/>
          <w:sz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5"/>
          <w:attr w:name="Year" w:val="2017"/>
        </w:smartTagPr>
        <w:r>
          <w:rPr>
            <w:rFonts w:ascii="仿宋_GB2312" w:eastAsia="仿宋_GB2312"/>
            <w:sz w:val="32"/>
            <w:szCs w:val="32"/>
          </w:rPr>
          <w:t>2017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5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2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C83DEE" w:rsidRDefault="00C83DEE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在青就业研究生住房补贴发放博士研究生</w:t>
      </w:r>
    </w:p>
    <w:p w:rsidR="00C83DEE" w:rsidRDefault="00C83DEE">
      <w:pPr>
        <w:spacing w:line="560" w:lineRule="exact"/>
        <w:jc w:val="center"/>
        <w:rPr>
          <w:rFonts w:ascii="微软雅黑" w:eastAsia="微软雅黑" w:hAnsi="Calibri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紧缺专业目录</w:t>
      </w:r>
    </w:p>
    <w:tbl>
      <w:tblPr>
        <w:tblW w:w="8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5527"/>
        <w:gridCol w:w="1841"/>
      </w:tblGrid>
      <w:tr w:rsidR="00C83DEE">
        <w:trPr>
          <w:trHeight w:val="585"/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27" w:type="dxa"/>
            <w:tcBorders>
              <w:top w:val="single" w:sz="18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8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tabs>
                <w:tab w:val="left" w:pos="900"/>
              </w:tabs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材料化学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智能科学与技术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海洋科学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海洋生态学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粒子物理与原子核物理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环境化学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7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新能源材料化学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材料学（偏高分子材料）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9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可再生能源与清洁能源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10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信号与信息处理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11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tabs>
                <w:tab w:val="left" w:pos="2025"/>
              </w:tabs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信息管理与信息系统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12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核科学与技术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13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ind w:right="48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核技术及应用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14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资源与环境保护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15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物理海洋学（海洋技术）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16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材料科学与工程（材料表面工程）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17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电子信息工程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18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材料学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2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19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信息安全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16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20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tabs>
                <w:tab w:val="left" w:pos="750"/>
              </w:tabs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电子与通信工程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2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21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安全工程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5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22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载运工具运用工程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0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23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tabs>
                <w:tab w:val="left" w:pos="1980"/>
              </w:tabs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分析化学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6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24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机械制造工业工程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8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25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制冷及低温工程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39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26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电力电子与电力传动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36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27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化学工艺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lastRenderedPageBreak/>
              <w:t>28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船舶与海洋工程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9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29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声学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1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30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流体力学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31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车辆工程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2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32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电气工程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01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33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急诊医学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1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34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概率论与数理统计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3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35</w:t>
            </w:r>
          </w:p>
        </w:tc>
        <w:tc>
          <w:tcPr>
            <w:tcW w:w="5527" w:type="dxa"/>
            <w:vAlign w:val="center"/>
          </w:tcPr>
          <w:p w:rsidR="00C83DEE" w:rsidRPr="008B7993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 w:rsidRPr="008B7993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影像医学与核医学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8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36</w:t>
            </w:r>
          </w:p>
        </w:tc>
        <w:tc>
          <w:tcPr>
            <w:tcW w:w="5527" w:type="dxa"/>
            <w:vAlign w:val="center"/>
          </w:tcPr>
          <w:p w:rsidR="00C83DEE" w:rsidRPr="008B7993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</w:rPr>
            </w:pPr>
            <w:r w:rsidRPr="008B7993">
              <w:rPr>
                <w:rFonts w:ascii="仿宋_GB2312" w:eastAsia="仿宋_GB2312" w:hAnsi="宋体" w:hint="eastAsia"/>
                <w:color w:val="FF0000"/>
                <w:kern w:val="0"/>
                <w:sz w:val="24"/>
              </w:rPr>
              <w:t>临床检验诊断学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37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应用统计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09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38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tabs>
                <w:tab w:val="left" w:pos="1845"/>
              </w:tabs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动漫设计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4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39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游戏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2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40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金融学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2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41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产业经济学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19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42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计算数学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10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43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软件工程</w:t>
            </w: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4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44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农业电气化与自动化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17"/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45</w:t>
            </w:r>
          </w:p>
        </w:tc>
        <w:tc>
          <w:tcPr>
            <w:tcW w:w="5527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农业机械化工程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  <w:tr w:rsidR="00C83DEE">
        <w:trPr>
          <w:trHeight w:val="416"/>
          <w:jc w:val="center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46</w:t>
            </w:r>
          </w:p>
        </w:tc>
        <w:tc>
          <w:tcPr>
            <w:tcW w:w="5527" w:type="dxa"/>
            <w:tcBorders>
              <w:bottom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农产品质量与食物安全</w:t>
            </w:r>
          </w:p>
        </w:tc>
        <w:tc>
          <w:tcPr>
            <w:tcW w:w="18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☆</w:t>
            </w:r>
          </w:p>
        </w:tc>
      </w:tr>
    </w:tbl>
    <w:p w:rsidR="00C83DEE" w:rsidRDefault="00C83DEE" w:rsidP="00FA6B91">
      <w:pPr>
        <w:spacing w:line="220" w:lineRule="atLeas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注：备注栏中带☆的专业，须为教育部学位与研究生教育发展中心公布的“</w:t>
      </w:r>
      <w:r>
        <w:rPr>
          <w:rFonts w:ascii="仿宋_GB2312" w:eastAsia="仿宋_GB2312" w:hAnsi="宋体"/>
          <w:sz w:val="24"/>
        </w:rPr>
        <w:t>2012</w:t>
      </w:r>
      <w:r>
        <w:rPr>
          <w:rFonts w:ascii="仿宋_GB2312" w:eastAsia="仿宋_GB2312" w:hAnsi="宋体" w:hint="eastAsia"/>
          <w:sz w:val="24"/>
        </w:rPr>
        <w:t>年学科评估结果”排名前</w:t>
      </w:r>
      <w:r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名学校的毕业生：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17.</w:t>
      </w:r>
      <w:r>
        <w:rPr>
          <w:rFonts w:ascii="仿宋_GB2312" w:eastAsia="仿宋_GB2312" w:hAnsi="宋体" w:hint="eastAsia"/>
          <w:sz w:val="24"/>
        </w:rPr>
        <w:t>电子信息工程：北京邮电大学、电子科技大学、西安电子科技大学、清华大学、上海交通大学、东南大学、国防科学技术大学、北京交通大学、北京理工大学、北京航空航天大学、哈尔滨工业大学、解放军信息工程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18.</w:t>
      </w:r>
      <w:r>
        <w:rPr>
          <w:rFonts w:ascii="仿宋_GB2312" w:eastAsia="仿宋_GB2312" w:hAnsi="宋体" w:hint="eastAsia"/>
          <w:sz w:val="24"/>
        </w:rPr>
        <w:t>材料学：清华大学、北京科技大学、哈尔滨工业大学、西北工业大学、上海交通大学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、武汉理工大学、华南理工大学、北京航空航天大学、浙江大学、中南大学；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19.</w:t>
      </w:r>
      <w:r>
        <w:rPr>
          <w:rFonts w:ascii="仿宋_GB2312" w:eastAsia="仿宋_GB2312" w:hAnsi="宋体" w:hint="eastAsia"/>
          <w:sz w:val="24"/>
        </w:rPr>
        <w:t>信息安全：电子科技大学、东南大学、北京大学、清华大学、西安电子科技大学、上海交通大学、复旦大学、南京大学、北京邮电大学、西安交通大学；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40.</w:t>
      </w:r>
      <w:r>
        <w:rPr>
          <w:rFonts w:ascii="仿宋_GB2312" w:eastAsia="仿宋_GB2312" w:hAnsi="宋体" w:hint="eastAsia"/>
          <w:sz w:val="24"/>
        </w:rPr>
        <w:t>金融学：中国人民大学、北京大学、中央财经大学、复旦大学、厦门大学、清华大学、南开大学、上海财经大学、西南财经大学、东北财经大学、暨南大学；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41.</w:t>
      </w:r>
      <w:r>
        <w:rPr>
          <w:rFonts w:ascii="仿宋_GB2312" w:eastAsia="仿宋_GB2312" w:hAnsi="宋体" w:hint="eastAsia"/>
          <w:sz w:val="24"/>
        </w:rPr>
        <w:t>产业经济学：中国人民大学、北京大学、中央财经大学、复旦大学、厦门大学、清华大学、南开大学、上海财经大学、西南财经大学、东北财经大学、暨南大学；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42.</w:t>
      </w:r>
      <w:r>
        <w:rPr>
          <w:rFonts w:ascii="仿宋_GB2312" w:eastAsia="仿宋_GB2312" w:hAnsi="宋体" w:hint="eastAsia"/>
          <w:sz w:val="24"/>
        </w:rPr>
        <w:t>计算数学：北京大学、复旦大学、山东大学、中国科学技术大学、清华大学、北京师范大学、南开大学、武汉大学、南京大学、浙江大学、四川大学、西安交通</w:t>
      </w:r>
      <w:r>
        <w:rPr>
          <w:rFonts w:ascii="仿宋_GB2312" w:eastAsia="仿宋_GB2312" w:hAnsi="宋体" w:hint="eastAsia"/>
          <w:sz w:val="24"/>
        </w:rPr>
        <w:lastRenderedPageBreak/>
        <w:t>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43.</w:t>
      </w:r>
      <w:r>
        <w:rPr>
          <w:rFonts w:ascii="仿宋_GB2312" w:eastAsia="仿宋_GB2312" w:hAnsi="宋体" w:hint="eastAsia"/>
          <w:sz w:val="24"/>
        </w:rPr>
        <w:t>软件工程：清华大学、国防科学技术大学、北京大学、北京航空航天大学、哈尔滨工业大学、上海交通大学、浙江大学、南京大学、中国科学技术大学、东北大学、华中科技大学；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44.</w:t>
      </w:r>
      <w:r>
        <w:rPr>
          <w:rFonts w:ascii="仿宋_GB2312" w:eastAsia="仿宋_GB2312" w:hAnsi="宋体" w:hint="eastAsia"/>
          <w:sz w:val="24"/>
        </w:rPr>
        <w:t>农业电气化与自动化：中国农业大学、浙江大学、吉林大学、西北农林科技大学、江苏大学、华南农业大学、东北农业大学、内蒙古农业大学、河南农业大学、沈阳农业大学、河海大学；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45.</w:t>
      </w:r>
      <w:r>
        <w:rPr>
          <w:rFonts w:ascii="仿宋_GB2312" w:eastAsia="仿宋_GB2312" w:hAnsi="宋体" w:hint="eastAsia"/>
          <w:sz w:val="24"/>
        </w:rPr>
        <w:t>农业机械化工程：中国农业大学、浙江大学、吉林大学、西北农林科技大学、江苏大学、华南农业大学、东北农业大学、内蒙古农业大学、河南农业大学、沈阳农业大学、河海大学；</w:t>
      </w:r>
    </w:p>
    <w:p w:rsidR="00C83DEE" w:rsidRDefault="00C83DEE" w:rsidP="00FA6B91">
      <w:pPr>
        <w:spacing w:line="220" w:lineRule="atLeas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 xml:space="preserve">46. </w:t>
      </w:r>
      <w:r>
        <w:rPr>
          <w:rFonts w:ascii="仿宋_GB2312" w:eastAsia="仿宋_GB2312" w:hAnsi="宋体" w:hint="eastAsia"/>
          <w:sz w:val="24"/>
        </w:rPr>
        <w:t>农产品质量与食物安全：江南大学、中国农业大学、华南理工大学、南昌大学、南京农业大学、浙江大学、中国海洋大学、东北农业大学、江苏大学、天津科技大学、华中农业大学、华南农业大学、西北农林科技大学。</w:t>
      </w: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center"/>
        <w:rPr>
          <w:rFonts w:ascii="微软雅黑" w:eastAsia="微软雅黑"/>
          <w:b/>
          <w:sz w:val="32"/>
        </w:rPr>
      </w:pPr>
    </w:p>
    <w:p w:rsidR="00C83DEE" w:rsidRDefault="00C83DEE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在青就业研究生住房补贴发放硕士研究生</w:t>
      </w:r>
    </w:p>
    <w:p w:rsidR="00C83DEE" w:rsidRDefault="00C83DEE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紧缺专业目录</w:t>
      </w:r>
    </w:p>
    <w:tbl>
      <w:tblPr>
        <w:tblW w:w="8790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5530"/>
        <w:gridCol w:w="2268"/>
      </w:tblGrid>
      <w:tr w:rsidR="00C83DEE" w:rsidTr="00F63644">
        <w:trPr>
          <w:trHeight w:val="817"/>
          <w:jc w:val="center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jc w:val="center"/>
              <w:rPr>
                <w:rFonts w:ascii="宋体"/>
                <w:kern w:val="0"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83DEE" w:rsidTr="00F63644">
        <w:trPr>
          <w:trHeight w:val="409"/>
          <w:jc w:val="center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环境化学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2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新能源材料化学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21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海洋科学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2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物理海洋学（海洋技术）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9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海洋生态学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1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6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tabs>
                <w:tab w:val="left" w:pos="810"/>
              </w:tabs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海洋信息探测与处理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7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7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海洋地球化学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22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8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电子电路设计与工艺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2"/>
              </w:rPr>
            </w:pPr>
          </w:p>
        </w:tc>
      </w:tr>
      <w:tr w:rsidR="00C83DEE">
        <w:trPr>
          <w:trHeight w:val="414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9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制冷及低温工程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1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10</w:t>
            </w:r>
          </w:p>
        </w:tc>
        <w:tc>
          <w:tcPr>
            <w:tcW w:w="5530" w:type="dxa"/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流体力学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7"/>
          <w:jc w:val="center"/>
        </w:trPr>
        <w:tc>
          <w:tcPr>
            <w:tcW w:w="992" w:type="dxa"/>
            <w:tcBorders>
              <w:lef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11</w:t>
            </w:r>
          </w:p>
        </w:tc>
        <w:tc>
          <w:tcPr>
            <w:tcW w:w="5530" w:type="dxa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机电一体化工程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2"/>
          <w:jc w:val="center"/>
        </w:trPr>
        <w:tc>
          <w:tcPr>
            <w:tcW w:w="992" w:type="dxa"/>
            <w:tcBorders>
              <w:lef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12</w:t>
            </w:r>
          </w:p>
        </w:tc>
        <w:tc>
          <w:tcPr>
            <w:tcW w:w="5530" w:type="dxa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测控技术与仪器仪表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14"/>
          <w:jc w:val="center"/>
        </w:trPr>
        <w:tc>
          <w:tcPr>
            <w:tcW w:w="992" w:type="dxa"/>
            <w:tcBorders>
              <w:lef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13</w:t>
            </w:r>
          </w:p>
        </w:tc>
        <w:tc>
          <w:tcPr>
            <w:tcW w:w="5530" w:type="dxa"/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游戏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3DEE">
        <w:trPr>
          <w:trHeight w:val="421"/>
          <w:jc w:val="center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14</w:t>
            </w:r>
          </w:p>
        </w:tc>
        <w:tc>
          <w:tcPr>
            <w:tcW w:w="5530" w:type="dxa"/>
            <w:tcBorders>
              <w:bottom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动漫设计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:rsidR="00C83DEE" w:rsidRDefault="00C83DEE">
            <w:pPr>
              <w:spacing w:line="22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jc w:val="left"/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rPr>
          <w:rFonts w:ascii="宋体"/>
          <w:color w:val="FF0000"/>
          <w:sz w:val="28"/>
          <w:szCs w:val="22"/>
        </w:rPr>
      </w:pPr>
    </w:p>
    <w:p w:rsidR="00C83DEE" w:rsidRDefault="00C83DEE">
      <w:pPr>
        <w:rPr>
          <w:rFonts w:ascii="仿宋_GB2312" w:eastAsia="仿宋_GB2312" w:hAnsi="宋体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220" w:lineRule="atLeast"/>
        <w:rPr>
          <w:rFonts w:ascii="仿宋_GB2312" w:eastAsia="仿宋_GB2312"/>
          <w:w w:val="90"/>
          <w:sz w:val="32"/>
          <w:szCs w:val="32"/>
        </w:rPr>
      </w:pPr>
    </w:p>
    <w:p w:rsidR="00C83DEE" w:rsidRDefault="00C83DE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83DEE" w:rsidRDefault="00DB1A33" w:rsidP="00E55EC5">
      <w:pPr>
        <w:ind w:firstLineChars="50" w:firstLine="105"/>
        <w:rPr>
          <w:rFonts w:ascii="仿宋_GB2312" w:eastAsia="仿宋_GB2312"/>
          <w:w w:val="90"/>
          <w:sz w:val="28"/>
          <w:szCs w:val="28"/>
        </w:rPr>
      </w:pPr>
      <w:r w:rsidRPr="00DB1A33">
        <w:rPr>
          <w:noProof/>
        </w:rPr>
        <w:pict>
          <v:line id="_x0000_s1028" style="position:absolute;left:0;text-align:left;z-index:251658752" from="0,31.4pt" to="442.4pt,31.4pt" strokeweight="1.5pt"/>
        </w:pict>
      </w:r>
      <w:r w:rsidRPr="00DB1A33">
        <w:rPr>
          <w:noProof/>
        </w:rPr>
        <w:pict>
          <v:line id="_x0000_s1029" style="position:absolute;left:0;text-align:left;z-index:251657728" from="0,.2pt" to="442.4pt,.2pt" strokeweight="1.5pt"/>
        </w:pict>
      </w:r>
      <w:r w:rsidR="00C83DEE">
        <w:rPr>
          <w:rFonts w:eastAsia="仿宋_GB2312" w:hint="eastAsia"/>
          <w:w w:val="95"/>
          <w:sz w:val="28"/>
          <w:szCs w:val="28"/>
        </w:rPr>
        <w:t>青岛市人力资源和社会保障局办公室</w:t>
      </w:r>
      <w:r w:rsidR="00C83DEE">
        <w:rPr>
          <w:rFonts w:eastAsia="仿宋_GB2312"/>
          <w:w w:val="95"/>
          <w:sz w:val="28"/>
          <w:szCs w:val="28"/>
        </w:rPr>
        <w:t xml:space="preserve">  </w:t>
      </w:r>
      <w:bookmarkStart w:id="0" w:name="_GoBack"/>
      <w:bookmarkEnd w:id="0"/>
      <w:r w:rsidR="00C83DEE">
        <w:rPr>
          <w:rFonts w:eastAsia="仿宋_GB2312"/>
          <w:w w:val="95"/>
          <w:sz w:val="28"/>
          <w:szCs w:val="28"/>
        </w:rPr>
        <w:t xml:space="preserve">            </w:t>
      </w:r>
      <w:r w:rsidR="00C83DEE">
        <w:rPr>
          <w:rFonts w:ascii="仿宋_GB2312" w:eastAsia="仿宋_GB2312"/>
          <w:w w:val="90"/>
          <w:sz w:val="28"/>
          <w:szCs w:val="28"/>
        </w:rPr>
        <w:t>2017</w:t>
      </w:r>
      <w:r w:rsidR="00C83DEE">
        <w:rPr>
          <w:rFonts w:ascii="仿宋_GB2312" w:eastAsia="仿宋_GB2312" w:hint="eastAsia"/>
          <w:w w:val="90"/>
          <w:sz w:val="28"/>
          <w:szCs w:val="28"/>
        </w:rPr>
        <w:t>年</w:t>
      </w:r>
      <w:r w:rsidR="00C83DEE">
        <w:rPr>
          <w:rFonts w:ascii="仿宋_GB2312" w:eastAsia="仿宋_GB2312"/>
          <w:w w:val="90"/>
          <w:sz w:val="28"/>
          <w:szCs w:val="28"/>
        </w:rPr>
        <w:t>5</w:t>
      </w:r>
      <w:r w:rsidR="00C83DEE">
        <w:rPr>
          <w:rFonts w:ascii="仿宋_GB2312" w:eastAsia="仿宋_GB2312" w:hint="eastAsia"/>
          <w:w w:val="90"/>
          <w:sz w:val="28"/>
          <w:szCs w:val="28"/>
        </w:rPr>
        <w:t>月</w:t>
      </w:r>
      <w:r w:rsidR="00C83DEE">
        <w:rPr>
          <w:rFonts w:ascii="仿宋_GB2312" w:eastAsia="仿宋_GB2312"/>
          <w:w w:val="90"/>
          <w:sz w:val="28"/>
          <w:szCs w:val="28"/>
        </w:rPr>
        <w:t>2</w:t>
      </w:r>
      <w:r w:rsidR="00C83DEE">
        <w:rPr>
          <w:rFonts w:ascii="仿宋_GB2312" w:eastAsia="仿宋_GB2312" w:hint="eastAsia"/>
          <w:w w:val="90"/>
          <w:sz w:val="28"/>
          <w:szCs w:val="28"/>
        </w:rPr>
        <w:t>日印发</w:t>
      </w:r>
    </w:p>
    <w:sectPr w:rsidR="00C83DEE" w:rsidSect="006C62BF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C40" w:rsidRDefault="00AA1C40" w:rsidP="006C62BF">
      <w:r>
        <w:separator/>
      </w:r>
    </w:p>
  </w:endnote>
  <w:endnote w:type="continuationSeparator" w:id="1">
    <w:p w:rsidR="00AA1C40" w:rsidRDefault="00AA1C40" w:rsidP="006C6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简美黑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EE" w:rsidRDefault="00DB1A3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3D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3DEE" w:rsidRDefault="00C83D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EE" w:rsidRDefault="00C83DEE">
    <w:pPr>
      <w:pStyle w:val="a5"/>
    </w:pPr>
  </w:p>
  <w:p w:rsidR="00C83DEE" w:rsidRDefault="00DB1A33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83DEE" w:rsidRDefault="00DB1A33">
                <w:pPr>
                  <w:pStyle w:val="a5"/>
                  <w:rPr>
                    <w:rStyle w:val="a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C83DEE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8B7993"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C40" w:rsidRDefault="00AA1C40" w:rsidP="006C62BF">
      <w:r>
        <w:separator/>
      </w:r>
    </w:p>
  </w:footnote>
  <w:footnote w:type="continuationSeparator" w:id="1">
    <w:p w:rsidR="00AA1C40" w:rsidRDefault="00AA1C40" w:rsidP="006C6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EE" w:rsidRDefault="00C83DE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0F1"/>
    <w:rsid w:val="00001636"/>
    <w:rsid w:val="000059CA"/>
    <w:rsid w:val="00020870"/>
    <w:rsid w:val="0004469E"/>
    <w:rsid w:val="00054B0B"/>
    <w:rsid w:val="00057EB5"/>
    <w:rsid w:val="0008452B"/>
    <w:rsid w:val="0008710E"/>
    <w:rsid w:val="000D4F1D"/>
    <w:rsid w:val="000D64CA"/>
    <w:rsid w:val="000D6655"/>
    <w:rsid w:val="000D78BF"/>
    <w:rsid w:val="00173270"/>
    <w:rsid w:val="00186825"/>
    <w:rsid w:val="001A3FD6"/>
    <w:rsid w:val="001D3E61"/>
    <w:rsid w:val="00200C6A"/>
    <w:rsid w:val="00203A36"/>
    <w:rsid w:val="0022282B"/>
    <w:rsid w:val="00236F18"/>
    <w:rsid w:val="00273869"/>
    <w:rsid w:val="00294C09"/>
    <w:rsid w:val="002B318C"/>
    <w:rsid w:val="002B6ED7"/>
    <w:rsid w:val="002C04B3"/>
    <w:rsid w:val="002C106B"/>
    <w:rsid w:val="002C7855"/>
    <w:rsid w:val="002D62A4"/>
    <w:rsid w:val="00326AE1"/>
    <w:rsid w:val="00331E9D"/>
    <w:rsid w:val="00335520"/>
    <w:rsid w:val="003423AD"/>
    <w:rsid w:val="003807FE"/>
    <w:rsid w:val="00380FC8"/>
    <w:rsid w:val="0038629C"/>
    <w:rsid w:val="00386A85"/>
    <w:rsid w:val="0039079A"/>
    <w:rsid w:val="00391ED4"/>
    <w:rsid w:val="003A14DE"/>
    <w:rsid w:val="003F162C"/>
    <w:rsid w:val="003F6529"/>
    <w:rsid w:val="00430455"/>
    <w:rsid w:val="004518B4"/>
    <w:rsid w:val="00454547"/>
    <w:rsid w:val="004726D0"/>
    <w:rsid w:val="00482394"/>
    <w:rsid w:val="00485171"/>
    <w:rsid w:val="00485811"/>
    <w:rsid w:val="00492040"/>
    <w:rsid w:val="004B798F"/>
    <w:rsid w:val="004D1A0C"/>
    <w:rsid w:val="004F1D65"/>
    <w:rsid w:val="0052091B"/>
    <w:rsid w:val="00521456"/>
    <w:rsid w:val="005264F4"/>
    <w:rsid w:val="00546BDA"/>
    <w:rsid w:val="005872F0"/>
    <w:rsid w:val="005936C6"/>
    <w:rsid w:val="00594D59"/>
    <w:rsid w:val="005D0E1A"/>
    <w:rsid w:val="005E1455"/>
    <w:rsid w:val="0063455C"/>
    <w:rsid w:val="00637FE6"/>
    <w:rsid w:val="00663448"/>
    <w:rsid w:val="006810CF"/>
    <w:rsid w:val="00683001"/>
    <w:rsid w:val="00685490"/>
    <w:rsid w:val="00694042"/>
    <w:rsid w:val="006A08E9"/>
    <w:rsid w:val="006A190C"/>
    <w:rsid w:val="006B2A22"/>
    <w:rsid w:val="006B46EE"/>
    <w:rsid w:val="006C62BF"/>
    <w:rsid w:val="006D4950"/>
    <w:rsid w:val="006D4D7B"/>
    <w:rsid w:val="006D5A9F"/>
    <w:rsid w:val="006D5D04"/>
    <w:rsid w:val="006F0124"/>
    <w:rsid w:val="0075104A"/>
    <w:rsid w:val="00752238"/>
    <w:rsid w:val="00766FB1"/>
    <w:rsid w:val="0076725C"/>
    <w:rsid w:val="00781AD9"/>
    <w:rsid w:val="00797F41"/>
    <w:rsid w:val="007C6C13"/>
    <w:rsid w:val="007D5019"/>
    <w:rsid w:val="007E0792"/>
    <w:rsid w:val="007E1533"/>
    <w:rsid w:val="007E2778"/>
    <w:rsid w:val="00803E4B"/>
    <w:rsid w:val="00807C65"/>
    <w:rsid w:val="008108A2"/>
    <w:rsid w:val="00813E89"/>
    <w:rsid w:val="00815B7C"/>
    <w:rsid w:val="0083124F"/>
    <w:rsid w:val="008333CC"/>
    <w:rsid w:val="00833503"/>
    <w:rsid w:val="00881CCB"/>
    <w:rsid w:val="00894409"/>
    <w:rsid w:val="008B7143"/>
    <w:rsid w:val="008B7993"/>
    <w:rsid w:val="008E1991"/>
    <w:rsid w:val="00901E5D"/>
    <w:rsid w:val="00912752"/>
    <w:rsid w:val="009266C8"/>
    <w:rsid w:val="00927C40"/>
    <w:rsid w:val="0097597F"/>
    <w:rsid w:val="009A580D"/>
    <w:rsid w:val="009A6923"/>
    <w:rsid w:val="009A73F4"/>
    <w:rsid w:val="009F66DC"/>
    <w:rsid w:val="00A06FA6"/>
    <w:rsid w:val="00A52888"/>
    <w:rsid w:val="00A52F29"/>
    <w:rsid w:val="00A57970"/>
    <w:rsid w:val="00A9309A"/>
    <w:rsid w:val="00AA1C40"/>
    <w:rsid w:val="00B00DA2"/>
    <w:rsid w:val="00B2141B"/>
    <w:rsid w:val="00B41A29"/>
    <w:rsid w:val="00B474DD"/>
    <w:rsid w:val="00B753B2"/>
    <w:rsid w:val="00B82D3F"/>
    <w:rsid w:val="00BE3DFF"/>
    <w:rsid w:val="00BE61CE"/>
    <w:rsid w:val="00C03213"/>
    <w:rsid w:val="00C83DEE"/>
    <w:rsid w:val="00C84955"/>
    <w:rsid w:val="00C87BF4"/>
    <w:rsid w:val="00C90195"/>
    <w:rsid w:val="00C95100"/>
    <w:rsid w:val="00CA221C"/>
    <w:rsid w:val="00CA4F92"/>
    <w:rsid w:val="00CB1DE2"/>
    <w:rsid w:val="00CB6140"/>
    <w:rsid w:val="00CB6C1D"/>
    <w:rsid w:val="00CF260E"/>
    <w:rsid w:val="00CF4616"/>
    <w:rsid w:val="00D01D4C"/>
    <w:rsid w:val="00D22A59"/>
    <w:rsid w:val="00D410F1"/>
    <w:rsid w:val="00D57CFD"/>
    <w:rsid w:val="00D761B4"/>
    <w:rsid w:val="00DA7DC0"/>
    <w:rsid w:val="00DB1A33"/>
    <w:rsid w:val="00DB2A92"/>
    <w:rsid w:val="00DD42CD"/>
    <w:rsid w:val="00E0155F"/>
    <w:rsid w:val="00E01941"/>
    <w:rsid w:val="00E16413"/>
    <w:rsid w:val="00E2294D"/>
    <w:rsid w:val="00E2571C"/>
    <w:rsid w:val="00E25973"/>
    <w:rsid w:val="00E26647"/>
    <w:rsid w:val="00E44099"/>
    <w:rsid w:val="00E55EC5"/>
    <w:rsid w:val="00E677A8"/>
    <w:rsid w:val="00E80B9D"/>
    <w:rsid w:val="00E85DAF"/>
    <w:rsid w:val="00EB158B"/>
    <w:rsid w:val="00EC07DE"/>
    <w:rsid w:val="00EE3800"/>
    <w:rsid w:val="00EE7FA4"/>
    <w:rsid w:val="00EF4B32"/>
    <w:rsid w:val="00EF6183"/>
    <w:rsid w:val="00F00737"/>
    <w:rsid w:val="00F27D7F"/>
    <w:rsid w:val="00F50337"/>
    <w:rsid w:val="00F63394"/>
    <w:rsid w:val="00F63644"/>
    <w:rsid w:val="00FA6B91"/>
    <w:rsid w:val="020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B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6C62BF"/>
    <w:pPr>
      <w:spacing w:line="560" w:lineRule="exact"/>
      <w:ind w:firstLineChars="200" w:firstLine="640"/>
    </w:pPr>
    <w:rPr>
      <w:rFonts w:ascii="仿宋_GB2312" w:eastAsia="仿宋_GB2312" w:hAnsi="Calibri"/>
      <w:kern w:val="0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rsid w:val="004F7FEF"/>
    <w:rPr>
      <w:szCs w:val="24"/>
    </w:rPr>
  </w:style>
  <w:style w:type="paragraph" w:styleId="a4">
    <w:name w:val="Balloon Text"/>
    <w:basedOn w:val="a"/>
    <w:link w:val="Char0"/>
    <w:uiPriority w:val="99"/>
    <w:semiHidden/>
    <w:rsid w:val="006C62B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F7FEF"/>
    <w:rPr>
      <w:sz w:val="0"/>
      <w:szCs w:val="0"/>
    </w:rPr>
  </w:style>
  <w:style w:type="paragraph" w:styleId="a5">
    <w:name w:val="footer"/>
    <w:basedOn w:val="a"/>
    <w:link w:val="Char1"/>
    <w:uiPriority w:val="99"/>
    <w:rsid w:val="006C6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F7FEF"/>
    <w:rPr>
      <w:sz w:val="18"/>
      <w:szCs w:val="18"/>
    </w:rPr>
  </w:style>
  <w:style w:type="paragraph" w:styleId="a6">
    <w:name w:val="header"/>
    <w:basedOn w:val="a"/>
    <w:link w:val="Char2"/>
    <w:uiPriority w:val="99"/>
    <w:rsid w:val="006C6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4F7FEF"/>
    <w:rPr>
      <w:sz w:val="18"/>
      <w:szCs w:val="18"/>
    </w:rPr>
  </w:style>
  <w:style w:type="paragraph" w:styleId="a7">
    <w:name w:val="Normal (Web)"/>
    <w:basedOn w:val="a"/>
    <w:uiPriority w:val="99"/>
    <w:rsid w:val="006C62BF"/>
    <w:pPr>
      <w:widowControl/>
      <w:spacing w:before="100" w:beforeAutospacing="1" w:after="100" w:afterAutospacing="1" w:line="400" w:lineRule="atLeast"/>
      <w:jc w:val="left"/>
    </w:pPr>
    <w:rPr>
      <w:rFonts w:ascii="宋体" w:hAnsi="宋体"/>
      <w:color w:val="000000"/>
      <w:kern w:val="0"/>
      <w:szCs w:val="21"/>
    </w:rPr>
  </w:style>
  <w:style w:type="character" w:styleId="a8">
    <w:name w:val="page number"/>
    <w:basedOn w:val="a0"/>
    <w:uiPriority w:val="99"/>
    <w:rsid w:val="006C62BF"/>
    <w:rPr>
      <w:rFonts w:cs="Times New Roma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6C62BF"/>
    <w:rPr>
      <w:rFonts w:ascii="仿宋_GB2312" w:eastAsia="仿宋_GB2312"/>
      <w:b/>
      <w:sz w:val="32"/>
      <w:szCs w:val="32"/>
    </w:rPr>
  </w:style>
  <w:style w:type="paragraph" w:customStyle="1" w:styleId="CharCharCharCharChar1CharCharCharCharCharCharChar">
    <w:name w:val="Char Char Char Char Char1 Char Char Char Char Char Char Char"/>
    <w:basedOn w:val="a"/>
    <w:uiPriority w:val="99"/>
    <w:rsid w:val="006C62BF"/>
    <w:pPr>
      <w:tabs>
        <w:tab w:val="left" w:pos="850"/>
      </w:tabs>
      <w:spacing w:beforeLines="100" w:afterLines="100"/>
      <w:ind w:left="431" w:hanging="43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319</Words>
  <Characters>1820</Characters>
  <Application>Microsoft Office Word</Application>
  <DocSecurity>0</DocSecurity>
  <Lines>15</Lines>
  <Paragraphs>4</Paragraphs>
  <ScaleCrop>false</ScaleCrop>
  <Company>微软中国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青岛市“2012年青岛市大学生就业创业服务高校行”活动补充内容</dc:title>
  <dc:creator>111</dc:creator>
  <cp:lastModifiedBy>lenovo</cp:lastModifiedBy>
  <cp:revision>3</cp:revision>
  <cp:lastPrinted>2012-04-20T08:55:00Z</cp:lastPrinted>
  <dcterms:created xsi:type="dcterms:W3CDTF">2017-05-02T08:19:00Z</dcterms:created>
  <dcterms:modified xsi:type="dcterms:W3CDTF">2017-05-02T08:34:00Z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