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55" w:rsidRDefault="00E73B55">
      <w:pPr>
        <w:spacing w:line="440" w:lineRule="exact"/>
        <w:jc w:val="center"/>
        <w:rPr>
          <w:rFonts w:ascii="方正小标宋_GBK" w:eastAsia="方正小标宋_GBK" w:hAnsi="仿宋"/>
          <w:sz w:val="44"/>
          <w:szCs w:val="44"/>
        </w:rPr>
      </w:pPr>
    </w:p>
    <w:tbl>
      <w:tblPr>
        <w:tblW w:w="9639" w:type="dxa"/>
        <w:jc w:val="center"/>
        <w:tblBorders>
          <w:bottom w:val="thickThinLargeGap" w:sz="24" w:space="0" w:color="FF0000"/>
          <w:insideH w:val="thinThickLargeGap" w:sz="24" w:space="0" w:color="FF0000"/>
          <w:insideV w:val="thinThickLargeGap" w:sz="18" w:space="0" w:color="FF0000"/>
        </w:tblBorders>
        <w:tblLayout w:type="fixed"/>
        <w:tblLook w:val="04A0" w:firstRow="1" w:lastRow="0" w:firstColumn="1" w:lastColumn="0" w:noHBand="0" w:noVBand="1"/>
      </w:tblPr>
      <w:tblGrid>
        <w:gridCol w:w="9639"/>
      </w:tblGrid>
      <w:tr w:rsidR="00E73B55">
        <w:trPr>
          <w:trHeight w:hRule="exact" w:val="1021"/>
          <w:jc w:val="center"/>
        </w:trPr>
        <w:tc>
          <w:tcPr>
            <w:tcW w:w="9639" w:type="dxa"/>
            <w:tcBorders>
              <w:top w:val="nil"/>
              <w:bottom w:val="thinThickMediumGap" w:sz="24" w:space="0" w:color="FF0000"/>
            </w:tcBorders>
          </w:tcPr>
          <w:p w:rsidR="00E73B55" w:rsidRDefault="003200A4">
            <w:pPr>
              <w:adjustRightInd w:val="0"/>
              <w:snapToGrid w:val="0"/>
              <w:spacing w:line="940" w:lineRule="exact"/>
              <w:jc w:val="center"/>
              <w:rPr>
                <w:rFonts w:ascii="方正小标宋_GBK" w:eastAsia="方正小标宋_GBK" w:hAnsi="文星标宋"/>
                <w:color w:val="FF0000"/>
                <w:w w:val="88"/>
                <w:position w:val="6"/>
                <w:sz w:val="80"/>
                <w:szCs w:val="80"/>
              </w:rPr>
            </w:pPr>
            <w:r>
              <w:rPr>
                <w:rFonts w:ascii="方正小标宋_GBK" w:eastAsia="方正小标宋_GBK" w:hAnsi="文星标宋" w:hint="eastAsia"/>
                <w:color w:val="FF0000"/>
                <w:w w:val="88"/>
                <w:position w:val="6"/>
                <w:sz w:val="80"/>
                <w:szCs w:val="80"/>
              </w:rPr>
              <w:t>青岛市人力资源和社会保障局</w:t>
            </w:r>
          </w:p>
        </w:tc>
      </w:tr>
    </w:tbl>
    <w:p w:rsidR="00E73B55" w:rsidRDefault="00E73B55">
      <w:pPr>
        <w:spacing w:line="560" w:lineRule="exact"/>
        <w:rPr>
          <w:rFonts w:ascii="黑体" w:eastAsia="黑体" w:hAnsi="黑体" w:cs="黑体"/>
          <w:sz w:val="32"/>
          <w:szCs w:val="32"/>
        </w:rPr>
      </w:pPr>
    </w:p>
    <w:p w:rsidR="00E73B55" w:rsidRDefault="003200A4">
      <w:pPr>
        <w:widowControl/>
        <w:shd w:val="clear" w:color="auto" w:fill="FFFFFF"/>
        <w:spacing w:line="560" w:lineRule="exact"/>
        <w:jc w:val="center"/>
        <w:outlineLvl w:val="1"/>
        <w:rPr>
          <w:rFonts w:ascii="方正小标宋_GBK" w:eastAsia="方正小标宋_GBK" w:hAnsi="方正小标宋_GBK" w:cs="方正小标宋_GBK"/>
          <w:spacing w:val="8"/>
          <w:kern w:val="0"/>
          <w:sz w:val="44"/>
          <w:szCs w:val="44"/>
        </w:rPr>
      </w:pPr>
      <w:r>
        <w:rPr>
          <w:rFonts w:ascii="方正小标宋_GBK" w:eastAsia="方正小标宋_GBK" w:hAnsi="方正小标宋_GBK" w:hint="eastAsia"/>
          <w:spacing w:val="8"/>
          <w:kern w:val="0"/>
          <w:sz w:val="44"/>
          <w:szCs w:val="44"/>
        </w:rPr>
        <w:t>关于举办中国</w:t>
      </w:r>
      <w:r>
        <w:rPr>
          <w:rFonts w:ascii="宋体" w:hAnsi="宋体" w:hint="eastAsia"/>
          <w:spacing w:val="8"/>
          <w:kern w:val="0"/>
          <w:sz w:val="44"/>
          <w:szCs w:val="44"/>
        </w:rPr>
        <w:t>•</w:t>
      </w:r>
      <w:r>
        <w:rPr>
          <w:rFonts w:ascii="方正小标宋_GBK" w:eastAsia="方正小标宋_GBK" w:hAnsi="方正小标宋_GBK" w:cs="方正小标宋_GBK" w:hint="eastAsia"/>
          <w:spacing w:val="8"/>
          <w:kern w:val="0"/>
          <w:sz w:val="44"/>
          <w:szCs w:val="44"/>
        </w:rPr>
        <w:t>山东（青岛）</w:t>
      </w:r>
    </w:p>
    <w:p w:rsidR="00E73B55" w:rsidRDefault="003200A4">
      <w:pPr>
        <w:widowControl/>
        <w:shd w:val="clear" w:color="auto" w:fill="FFFFFF"/>
        <w:spacing w:line="560" w:lineRule="exact"/>
        <w:jc w:val="center"/>
        <w:outlineLvl w:val="1"/>
        <w:rPr>
          <w:rFonts w:ascii="方正小标宋_GBK" w:eastAsia="方正小标宋_GBK" w:hAnsi="方正小标宋_GBK"/>
          <w:spacing w:val="8"/>
          <w:kern w:val="0"/>
          <w:sz w:val="44"/>
          <w:szCs w:val="44"/>
        </w:rPr>
      </w:pPr>
      <w:r>
        <w:rPr>
          <w:rFonts w:ascii="方正小标宋_GBK" w:eastAsia="方正小标宋_GBK" w:hAnsi="方正小标宋_GBK" w:cs="方正小标宋_GBK" w:hint="eastAsia"/>
          <w:spacing w:val="8"/>
          <w:kern w:val="0"/>
          <w:sz w:val="44"/>
          <w:szCs w:val="44"/>
        </w:rPr>
        <w:t>博士后</w:t>
      </w:r>
      <w:r>
        <w:rPr>
          <w:rFonts w:ascii="方正小标宋_GBK" w:eastAsia="方正小标宋_GBK" w:hAnsi="方正小标宋_GBK" w:hint="eastAsia"/>
          <w:spacing w:val="8"/>
          <w:kern w:val="0"/>
          <w:sz w:val="44"/>
          <w:szCs w:val="44"/>
        </w:rPr>
        <w:t>创新创业成果大赛的通知</w:t>
      </w:r>
    </w:p>
    <w:p w:rsidR="00E73B55" w:rsidRDefault="00E73B55">
      <w:pPr>
        <w:widowControl/>
        <w:spacing w:line="560" w:lineRule="exact"/>
        <w:ind w:firstLineChars="200" w:firstLine="480"/>
        <w:rPr>
          <w:rFonts w:ascii="仿宋_GB2312" w:eastAsia="仿宋_GB2312" w:hAnsi="宋体"/>
          <w:kern w:val="0"/>
          <w:sz w:val="24"/>
        </w:rPr>
      </w:pPr>
    </w:p>
    <w:p w:rsidR="00E73B55" w:rsidRDefault="003200A4">
      <w:pPr>
        <w:widowControl/>
        <w:spacing w:line="560" w:lineRule="exact"/>
        <w:rPr>
          <w:rFonts w:ascii="仿宋_GB2312" w:eastAsia="仿宋_GB2312" w:hAnsi="宋体"/>
          <w:kern w:val="0"/>
          <w:sz w:val="32"/>
          <w:szCs w:val="32"/>
        </w:rPr>
      </w:pPr>
      <w:r>
        <w:rPr>
          <w:rFonts w:ascii="仿宋_GB2312" w:eastAsia="仿宋_GB2312" w:hAnsi="宋体" w:hint="eastAsia"/>
          <w:kern w:val="0"/>
          <w:sz w:val="32"/>
          <w:szCs w:val="32"/>
        </w:rPr>
        <w:t>各有关博士后设站（基地）</w:t>
      </w:r>
      <w:r>
        <w:rPr>
          <w:rFonts w:ascii="仿宋_GB2312" w:eastAsia="仿宋_GB2312" w:hAnsi="宋体" w:hint="eastAsia"/>
          <w:color w:val="000000"/>
          <w:kern w:val="0"/>
          <w:sz w:val="32"/>
          <w:szCs w:val="32"/>
        </w:rPr>
        <w:t>单位及博士后</w:t>
      </w:r>
      <w:r>
        <w:rPr>
          <w:rFonts w:ascii="仿宋_GB2312" w:eastAsia="仿宋_GB2312" w:hAnsi="宋体" w:hint="eastAsia"/>
          <w:color w:val="000000"/>
          <w:kern w:val="0"/>
          <w:sz w:val="32"/>
          <w:szCs w:val="32"/>
        </w:rPr>
        <w:t>（博士）</w:t>
      </w:r>
      <w:r>
        <w:rPr>
          <w:rFonts w:ascii="仿宋_GB2312" w:eastAsia="仿宋_GB2312" w:hAnsi="宋体" w:hint="eastAsia"/>
          <w:color w:val="000000"/>
          <w:kern w:val="0"/>
          <w:sz w:val="32"/>
          <w:szCs w:val="32"/>
        </w:rPr>
        <w:t>：</w:t>
      </w:r>
    </w:p>
    <w:p w:rsidR="00E73B55" w:rsidRDefault="003200A4">
      <w:pPr>
        <w:widowControl/>
        <w:shd w:val="clear" w:color="auto" w:fill="FFFFFF"/>
        <w:spacing w:line="560" w:lineRule="exact"/>
        <w:ind w:firstLineChars="200" w:firstLine="67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今年是全国博士后制度建立实施</w:t>
      </w:r>
      <w:r>
        <w:rPr>
          <w:rFonts w:ascii="仿宋_GB2312" w:eastAsia="仿宋_GB2312" w:hAnsi="Microsoft YaHei UI" w:hint="eastAsia"/>
          <w:spacing w:val="8"/>
          <w:kern w:val="0"/>
          <w:sz w:val="32"/>
          <w:szCs w:val="32"/>
        </w:rPr>
        <w:t>35</w:t>
      </w:r>
      <w:r>
        <w:rPr>
          <w:rFonts w:ascii="仿宋_GB2312" w:eastAsia="仿宋_GB2312" w:hAnsi="Microsoft YaHei UI" w:hint="eastAsia"/>
          <w:spacing w:val="8"/>
          <w:kern w:val="0"/>
          <w:sz w:val="32"/>
          <w:szCs w:val="32"/>
        </w:rPr>
        <w:t>周年，为深入贯彻中央关于深化人才发展体制机制改革的意见及山东省“双招双引”工作会议精神，激发博士后创新潜能，释放博士后创业活力，加快集聚博士后创新创业人才和项目，经人力资源和社会保障部批准，在全国博士后管理委员会办公室、中国博士后科学基金会指导下，山东省人力资源和社会保障厅、青岛市人民政府共同举办中国</w:t>
      </w:r>
      <w:r>
        <w:rPr>
          <w:rFonts w:ascii="微软雅黑" w:eastAsia="微软雅黑" w:hAnsi="微软雅黑" w:cs="微软雅黑" w:hint="eastAsia"/>
          <w:spacing w:val="8"/>
          <w:kern w:val="0"/>
          <w:sz w:val="32"/>
          <w:szCs w:val="32"/>
        </w:rPr>
        <w:t>•</w:t>
      </w:r>
      <w:r>
        <w:rPr>
          <w:rFonts w:ascii="仿宋_GB2312" w:eastAsia="仿宋_GB2312" w:hAnsi="Microsoft YaHei UI" w:hint="eastAsia"/>
          <w:spacing w:val="8"/>
          <w:kern w:val="0"/>
          <w:sz w:val="32"/>
          <w:szCs w:val="32"/>
        </w:rPr>
        <w:t>山东（青岛）博士后创新创业成果大赛（以下简称“大赛”），现将有关事项通知如下。</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一、大赛名称</w:t>
      </w:r>
    </w:p>
    <w:p w:rsidR="00E73B55" w:rsidRDefault="003200A4">
      <w:pPr>
        <w:widowControl/>
        <w:shd w:val="clear" w:color="auto" w:fill="FFFFFF"/>
        <w:spacing w:line="560" w:lineRule="exact"/>
        <w:ind w:firstLineChars="200" w:firstLine="67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中国</w:t>
      </w:r>
      <w:r>
        <w:rPr>
          <w:rFonts w:ascii="微软雅黑" w:eastAsia="微软雅黑" w:hAnsi="微软雅黑" w:cs="微软雅黑" w:hint="eastAsia"/>
          <w:spacing w:val="8"/>
          <w:kern w:val="0"/>
          <w:sz w:val="32"/>
          <w:szCs w:val="32"/>
        </w:rPr>
        <w:t>•</w:t>
      </w:r>
      <w:r>
        <w:rPr>
          <w:rFonts w:ascii="仿宋_GB2312" w:eastAsia="仿宋_GB2312" w:hAnsi="Microsoft YaHei UI" w:hint="eastAsia"/>
          <w:spacing w:val="8"/>
          <w:kern w:val="0"/>
          <w:sz w:val="32"/>
          <w:szCs w:val="32"/>
        </w:rPr>
        <w:t>山东（青岛）博士后创新创业成果大赛</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二、大赛主题</w:t>
      </w:r>
    </w:p>
    <w:p w:rsidR="00E73B55" w:rsidRDefault="003200A4">
      <w:pPr>
        <w:widowControl/>
        <w:shd w:val="clear" w:color="auto" w:fill="FFFFFF"/>
        <w:spacing w:line="560" w:lineRule="exact"/>
        <w:ind w:firstLineChars="200" w:firstLine="67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博揽英才</w:t>
      </w:r>
      <w:r>
        <w:rPr>
          <w:rFonts w:ascii="仿宋_GB2312" w:eastAsia="仿宋_GB2312" w:hAnsi="Microsoft YaHei UI" w:hint="eastAsia"/>
          <w:spacing w:val="8"/>
          <w:kern w:val="0"/>
          <w:sz w:val="32"/>
          <w:szCs w:val="32"/>
        </w:rPr>
        <w:t xml:space="preserve">  </w:t>
      </w:r>
      <w:r>
        <w:rPr>
          <w:rFonts w:ascii="仿宋_GB2312" w:eastAsia="仿宋_GB2312" w:hAnsi="Microsoft YaHei UI" w:hint="eastAsia"/>
          <w:spacing w:val="8"/>
          <w:kern w:val="0"/>
          <w:sz w:val="32"/>
          <w:szCs w:val="32"/>
        </w:rPr>
        <w:t>创领未来</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三、组织机构</w:t>
      </w:r>
    </w:p>
    <w:p w:rsidR="00E73B55" w:rsidRDefault="003200A4">
      <w:pPr>
        <w:widowControl/>
        <w:shd w:val="clear" w:color="auto" w:fill="FFFFFF"/>
        <w:spacing w:line="560" w:lineRule="exact"/>
        <w:ind w:firstLineChars="200" w:firstLine="67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指导单位：全国博士后管理委员会办公室</w:t>
      </w:r>
    </w:p>
    <w:p w:rsidR="00E73B55" w:rsidRDefault="003200A4">
      <w:pPr>
        <w:widowControl/>
        <w:shd w:val="clear" w:color="auto" w:fill="FFFFFF"/>
        <w:spacing w:line="560" w:lineRule="exact"/>
        <w:ind w:firstLineChars="700" w:firstLine="235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lastRenderedPageBreak/>
        <w:t>中国博士后科学基金会</w:t>
      </w:r>
    </w:p>
    <w:p w:rsidR="00E73B55" w:rsidRDefault="003200A4">
      <w:pPr>
        <w:widowControl/>
        <w:shd w:val="clear" w:color="auto" w:fill="FFFFFF"/>
        <w:spacing w:line="560" w:lineRule="exact"/>
        <w:ind w:firstLineChars="200" w:firstLine="67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主办单位：山东省人力资源和社会保障厅</w:t>
      </w:r>
    </w:p>
    <w:p w:rsidR="00E73B55" w:rsidRDefault="003200A4">
      <w:pPr>
        <w:widowControl/>
        <w:shd w:val="clear" w:color="auto" w:fill="FFFFFF"/>
        <w:spacing w:line="560" w:lineRule="exact"/>
        <w:ind w:firstLineChars="700" w:firstLine="235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青岛市人民政府</w:t>
      </w:r>
    </w:p>
    <w:p w:rsidR="00E73B55" w:rsidRDefault="003200A4">
      <w:pPr>
        <w:widowControl/>
        <w:shd w:val="clear" w:color="auto" w:fill="FFFFFF"/>
        <w:spacing w:line="560" w:lineRule="exact"/>
        <w:ind w:firstLineChars="200" w:firstLine="672"/>
        <w:rPr>
          <w:rFonts w:ascii="仿宋_GB2312" w:eastAsia="仿宋_GB2312" w:hAnsi="Microsoft YaHei UI"/>
          <w:spacing w:val="8"/>
          <w:kern w:val="0"/>
          <w:sz w:val="32"/>
          <w:szCs w:val="32"/>
        </w:rPr>
      </w:pPr>
      <w:r>
        <w:rPr>
          <w:rFonts w:ascii="仿宋_GB2312" w:eastAsia="仿宋_GB2312" w:hAnsi="Microsoft YaHei UI" w:hint="eastAsia"/>
          <w:spacing w:val="8"/>
          <w:kern w:val="0"/>
          <w:sz w:val="32"/>
          <w:szCs w:val="32"/>
        </w:rPr>
        <w:t>承办单位：山东省留学人员和专家服务中心</w:t>
      </w:r>
    </w:p>
    <w:p w:rsidR="00E73B55" w:rsidRDefault="003200A4">
      <w:pPr>
        <w:widowControl/>
        <w:shd w:val="clear" w:color="auto" w:fill="FFFFFF"/>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青岛市委组织部</w:t>
      </w:r>
    </w:p>
    <w:p w:rsidR="00E73B55" w:rsidRDefault="003200A4">
      <w:pPr>
        <w:widowControl/>
        <w:shd w:val="clear" w:color="auto" w:fill="FFFFFF"/>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青岛市人力资源和社会保障局</w:t>
      </w:r>
    </w:p>
    <w:p w:rsidR="00E73B55" w:rsidRDefault="003200A4">
      <w:pPr>
        <w:widowControl/>
        <w:shd w:val="clear" w:color="auto" w:fill="FFFFFF"/>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青岛市财政局</w:t>
      </w:r>
    </w:p>
    <w:p w:rsidR="00E73B55" w:rsidRDefault="003200A4">
      <w:pPr>
        <w:widowControl/>
        <w:shd w:val="clear" w:color="auto" w:fill="FFFFFF"/>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青岛市科技局</w:t>
      </w:r>
    </w:p>
    <w:p w:rsidR="00E73B55" w:rsidRDefault="003200A4">
      <w:pPr>
        <w:widowControl/>
        <w:shd w:val="clear" w:color="auto" w:fill="FFFFFF"/>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青岛市城阳区委</w:t>
      </w:r>
    </w:p>
    <w:p w:rsidR="00E73B55" w:rsidRDefault="003200A4">
      <w:pPr>
        <w:widowControl/>
        <w:shd w:val="clear" w:color="auto" w:fill="FFFFFF"/>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青岛市城阳区人民政府</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协办单位：青岛市人民政府新闻办公室</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青岛市委台港澳工作办公室</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青岛市商务局</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青岛市人民政府外事办公室</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青岛市民营经济发展局</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青岛欧美同学会（青岛留学人员联谊会）</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青岛市归国华侨联合会</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青岛市工商业联合会</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青岛国际投资有限公司</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青岛博士后创业园运营管理有限公司</w:t>
      </w:r>
    </w:p>
    <w:p w:rsidR="00E73B55" w:rsidRDefault="003200A4">
      <w:pPr>
        <w:spacing w:line="560" w:lineRule="exact"/>
        <w:ind w:firstLineChars="700" w:firstLine="2240"/>
        <w:rPr>
          <w:rFonts w:ascii="仿宋_GB2312" w:eastAsia="仿宋_GB2312" w:hAnsi="宋体"/>
          <w:kern w:val="0"/>
          <w:sz w:val="32"/>
          <w:szCs w:val="32"/>
        </w:rPr>
      </w:pPr>
      <w:r>
        <w:rPr>
          <w:rFonts w:ascii="仿宋_GB2312" w:eastAsia="仿宋_GB2312" w:hAnsi="宋体" w:hint="eastAsia"/>
          <w:kern w:val="0"/>
          <w:sz w:val="32"/>
          <w:szCs w:val="32"/>
        </w:rPr>
        <w:t>青岛日日顺物流有限公司</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四、参赛对象和要求</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lastRenderedPageBreak/>
        <w:t>（一）参赛对象</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大赛分团队组和企业组，参赛团队或企业核心成员中至少包含一名在站或已出站的博士后研究人员或有意来青从事博士后研究的博士。</w:t>
      </w:r>
    </w:p>
    <w:p w:rsidR="00E73B55" w:rsidRDefault="003200A4">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宋体" w:hint="eastAsia"/>
          <w:kern w:val="0"/>
          <w:sz w:val="32"/>
          <w:szCs w:val="32"/>
        </w:rPr>
        <w:t>团队组要求：</w:t>
      </w:r>
      <w:r>
        <w:rPr>
          <w:rFonts w:ascii="仿宋_GB2312" w:eastAsia="仿宋_GB2312" w:hAnsi="仿宋_GB2312" w:cs="仿宋_GB2312" w:hint="eastAsia"/>
          <w:kern w:val="0"/>
          <w:sz w:val="32"/>
          <w:szCs w:val="32"/>
        </w:rPr>
        <w:t>具有创业意向的创业团队或个人，截止报名时间尚未在审批部门进行企业注册登记。</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企业组要求：已在审批部门注册登记为企业，参赛博士后需在企业中占股，或与博士后有深度合作（有合作协议）。</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（二）项目要求</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参赛项目须为原创项目，不接收涉密项目和存在知识产权纠纷的项目，不可借用他人项目参赛，一经发现问题取消参赛资格并自负一切法律责任。</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参赛项目应符合国家产业技术政策、有较高创新水平和较强市场竞争力、有良好的市场前景，包括：新一代信息技术产业、人工智能、场景物流、高端装备制造产业、工业互联网、新材料产业、生物产业、新能源汽车产业、新能源产业、节能环保产业、数字创意产业以及其他高新技术领域。</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2019</w:t>
      </w:r>
      <w:r>
        <w:rPr>
          <w:rFonts w:ascii="仿宋_GB2312" w:eastAsia="仿宋_GB2312" w:hAnsi="宋体" w:hint="eastAsia"/>
          <w:kern w:val="0"/>
          <w:sz w:val="32"/>
          <w:szCs w:val="32"/>
        </w:rPr>
        <w:t>年中国博士后创新创业成果大赛决赛团队组及企业组金、银、铜奖得主没有新的创新成果的，不得再次参加本届大赛。</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五、大赛程</w:t>
      </w:r>
      <w:r>
        <w:rPr>
          <w:rFonts w:ascii="黑体" w:eastAsia="黑体" w:hAnsi="黑体" w:cs="黑体" w:hint="eastAsia"/>
          <w:sz w:val="32"/>
          <w:szCs w:val="32"/>
        </w:rPr>
        <w:t>序</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（一）大赛报名</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2020</w:t>
      </w:r>
      <w:r>
        <w:rPr>
          <w:rFonts w:ascii="仿宋_GB2312" w:eastAsia="仿宋_GB2312" w:hAnsi="宋体" w:hint="eastAsia"/>
          <w:kern w:val="0"/>
          <w:sz w:val="32"/>
          <w:szCs w:val="32"/>
        </w:rPr>
        <w:t>年</w:t>
      </w:r>
      <w:r>
        <w:rPr>
          <w:rFonts w:ascii="仿宋_GB2312" w:eastAsia="仿宋_GB2312" w:hAnsi="宋体" w:hint="eastAsia"/>
          <w:kern w:val="0"/>
          <w:sz w:val="32"/>
          <w:szCs w:val="32"/>
        </w:rPr>
        <w:t>7</w:t>
      </w:r>
      <w:r>
        <w:rPr>
          <w:rFonts w:ascii="仿宋_GB2312" w:eastAsia="仿宋_GB2312" w:hAnsi="宋体" w:hint="eastAsia"/>
          <w:kern w:val="0"/>
          <w:sz w:val="32"/>
          <w:szCs w:val="32"/>
        </w:rPr>
        <w:t>月</w:t>
      </w:r>
      <w:r>
        <w:rPr>
          <w:rFonts w:ascii="仿宋_GB2312" w:eastAsia="仿宋_GB2312" w:hAnsi="宋体" w:hint="eastAsia"/>
          <w:kern w:val="0"/>
          <w:sz w:val="32"/>
          <w:szCs w:val="32"/>
        </w:rPr>
        <w:t>31</w:t>
      </w:r>
      <w:r>
        <w:rPr>
          <w:rFonts w:ascii="仿宋_GB2312" w:eastAsia="仿宋_GB2312" w:hAnsi="宋体" w:hint="eastAsia"/>
          <w:kern w:val="0"/>
          <w:sz w:val="32"/>
          <w:szCs w:val="32"/>
        </w:rPr>
        <w:t>日前接受参赛报名，参赛项目应提交完整报</w:t>
      </w:r>
      <w:r>
        <w:rPr>
          <w:rFonts w:ascii="仿宋_GB2312" w:eastAsia="仿宋_GB2312" w:hAnsi="宋体" w:hint="eastAsia"/>
          <w:kern w:val="0"/>
          <w:sz w:val="32"/>
          <w:szCs w:val="32"/>
        </w:rPr>
        <w:lastRenderedPageBreak/>
        <w:t>名材料，并对所填信息的准确性和真实性负责。</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（二）资格审核</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2020</w:t>
      </w:r>
      <w:r>
        <w:rPr>
          <w:rFonts w:ascii="仿宋_GB2312" w:eastAsia="仿宋_GB2312" w:hAnsi="宋体" w:hint="eastAsia"/>
          <w:kern w:val="0"/>
          <w:sz w:val="32"/>
          <w:szCs w:val="32"/>
        </w:rPr>
        <w:t>年</w:t>
      </w:r>
      <w:r>
        <w:rPr>
          <w:rFonts w:ascii="仿宋_GB2312" w:eastAsia="仿宋_GB2312" w:hAnsi="宋体" w:hint="eastAsia"/>
          <w:kern w:val="0"/>
          <w:sz w:val="32"/>
          <w:szCs w:val="32"/>
        </w:rPr>
        <w:t>8</w:t>
      </w:r>
      <w:r>
        <w:rPr>
          <w:rFonts w:ascii="仿宋_GB2312" w:eastAsia="仿宋_GB2312" w:hAnsi="宋体" w:hint="eastAsia"/>
          <w:kern w:val="0"/>
          <w:sz w:val="32"/>
          <w:szCs w:val="32"/>
        </w:rPr>
        <w:t>月上旬，对参赛选手进行资格审查，将通过资格审核的参赛项目名单在大赛官网进行公示。</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（三）大赛初赛</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2020</w:t>
      </w:r>
      <w:r>
        <w:rPr>
          <w:rFonts w:ascii="仿宋_GB2312" w:eastAsia="仿宋_GB2312" w:hAnsi="宋体" w:hint="eastAsia"/>
          <w:kern w:val="0"/>
          <w:sz w:val="32"/>
          <w:szCs w:val="32"/>
        </w:rPr>
        <w:t>年</w:t>
      </w:r>
      <w:r>
        <w:rPr>
          <w:rFonts w:ascii="仿宋_GB2312" w:eastAsia="仿宋_GB2312" w:hAnsi="宋体" w:hint="eastAsia"/>
          <w:kern w:val="0"/>
          <w:sz w:val="32"/>
          <w:szCs w:val="32"/>
        </w:rPr>
        <w:t>8</w:t>
      </w:r>
      <w:r>
        <w:rPr>
          <w:rFonts w:ascii="仿宋_GB2312" w:eastAsia="仿宋_GB2312" w:hAnsi="宋体" w:hint="eastAsia"/>
          <w:kern w:val="0"/>
          <w:sz w:val="32"/>
          <w:szCs w:val="32"/>
        </w:rPr>
        <w:t>月中旬，初赛采用线上评审形式，评委按照统一评审规则，对项目的技术程度、行业前景、发展战略、营销策略、盈利能力、风险防控、实施方案及创业团队等多个指标进行综合评定，并根据报名情况视情决定复赛，选取</w:t>
      </w:r>
      <w:r>
        <w:rPr>
          <w:rFonts w:ascii="仿宋_GB2312" w:eastAsia="仿宋_GB2312" w:hAnsi="宋体" w:hint="eastAsia"/>
          <w:kern w:val="0"/>
          <w:sz w:val="32"/>
          <w:szCs w:val="32"/>
        </w:rPr>
        <w:t>60</w:t>
      </w:r>
      <w:r>
        <w:rPr>
          <w:rFonts w:ascii="仿宋_GB2312" w:eastAsia="仿宋_GB2312" w:hAnsi="宋体" w:hint="eastAsia"/>
          <w:kern w:val="0"/>
          <w:sz w:val="32"/>
          <w:szCs w:val="32"/>
        </w:rPr>
        <w:t>个项目（</w:t>
      </w:r>
      <w:r>
        <w:rPr>
          <w:rFonts w:ascii="仿宋_GB2312" w:eastAsia="仿宋_GB2312" w:hAnsi="宋体" w:hint="eastAsia"/>
          <w:kern w:val="0"/>
          <w:sz w:val="32"/>
          <w:szCs w:val="32"/>
        </w:rPr>
        <w:t>30</w:t>
      </w:r>
      <w:r>
        <w:rPr>
          <w:rFonts w:ascii="仿宋_GB2312" w:eastAsia="仿宋_GB2312" w:hAnsi="宋体" w:hint="eastAsia"/>
          <w:kern w:val="0"/>
          <w:sz w:val="32"/>
          <w:szCs w:val="32"/>
        </w:rPr>
        <w:t>个团队组项目和</w:t>
      </w:r>
      <w:r>
        <w:rPr>
          <w:rFonts w:ascii="仿宋_GB2312" w:eastAsia="仿宋_GB2312" w:hAnsi="宋体" w:hint="eastAsia"/>
          <w:kern w:val="0"/>
          <w:sz w:val="32"/>
          <w:szCs w:val="32"/>
        </w:rPr>
        <w:t>30</w:t>
      </w:r>
      <w:r>
        <w:rPr>
          <w:rFonts w:ascii="仿宋_GB2312" w:eastAsia="仿宋_GB2312" w:hAnsi="宋体" w:hint="eastAsia"/>
          <w:kern w:val="0"/>
          <w:sz w:val="32"/>
          <w:szCs w:val="32"/>
        </w:rPr>
        <w:t>个企业组项目）参加决赛。</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（四）大赛决赛</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2020</w:t>
      </w:r>
      <w:r>
        <w:rPr>
          <w:rFonts w:ascii="仿宋_GB2312" w:eastAsia="仿宋_GB2312" w:hAnsi="宋体" w:hint="eastAsia"/>
          <w:kern w:val="0"/>
          <w:sz w:val="32"/>
          <w:szCs w:val="32"/>
        </w:rPr>
        <w:t>年</w:t>
      </w:r>
      <w:r>
        <w:rPr>
          <w:rFonts w:ascii="仿宋_GB2312" w:eastAsia="仿宋_GB2312" w:hAnsi="宋体" w:hint="eastAsia"/>
          <w:kern w:val="0"/>
          <w:sz w:val="32"/>
          <w:szCs w:val="32"/>
        </w:rPr>
        <w:t>9</w:t>
      </w:r>
      <w:r>
        <w:rPr>
          <w:rFonts w:ascii="仿宋_GB2312" w:eastAsia="仿宋_GB2312" w:hAnsi="宋体" w:hint="eastAsia"/>
          <w:kern w:val="0"/>
          <w:sz w:val="32"/>
          <w:szCs w:val="32"/>
        </w:rPr>
        <w:t>月下旬，视情确定决赛形式。获奖选手将参加大赛颁奖典礼等相关活动。不按时参赛的视为自动弃权。具体时间和地点另行通知。</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六、奖励措施</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（一）奖项设置</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团队组和企业组各设金奖、银奖、铜奖、优胜奖各若干名。</w:t>
      </w:r>
    </w:p>
    <w:p w:rsidR="00E73B55" w:rsidRDefault="003200A4">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（二）资金扶持</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1.</w:t>
      </w:r>
      <w:r>
        <w:rPr>
          <w:rFonts w:ascii="仿宋_GB2312" w:eastAsia="仿宋_GB2312" w:hAnsi="宋体" w:hint="eastAsia"/>
          <w:kern w:val="0"/>
          <w:sz w:val="32"/>
          <w:szCs w:val="32"/>
        </w:rPr>
        <w:t>对进入决赛获得金、银、铜奖和优胜奖的优秀项目，大赛结束后一年内在青岛国际博士后创新创业园落地实施转化的，分别给予</w:t>
      </w:r>
      <w:r>
        <w:rPr>
          <w:rFonts w:ascii="仿宋_GB2312" w:eastAsia="仿宋_GB2312" w:hAnsi="宋体" w:hint="eastAsia"/>
          <w:kern w:val="0"/>
          <w:sz w:val="32"/>
          <w:szCs w:val="32"/>
        </w:rPr>
        <w:t>150</w:t>
      </w:r>
      <w:r>
        <w:rPr>
          <w:rFonts w:ascii="仿宋_GB2312" w:eastAsia="仿宋_GB2312" w:hAnsi="宋体" w:hint="eastAsia"/>
          <w:kern w:val="0"/>
          <w:sz w:val="32"/>
          <w:szCs w:val="32"/>
        </w:rPr>
        <w:t>万元、</w:t>
      </w:r>
      <w:r>
        <w:rPr>
          <w:rFonts w:ascii="仿宋_GB2312" w:eastAsia="仿宋_GB2312" w:hAnsi="宋体" w:hint="eastAsia"/>
          <w:kern w:val="0"/>
          <w:sz w:val="32"/>
          <w:szCs w:val="32"/>
        </w:rPr>
        <w:t>100</w:t>
      </w:r>
      <w:r>
        <w:rPr>
          <w:rFonts w:ascii="仿宋_GB2312" w:eastAsia="仿宋_GB2312" w:hAnsi="宋体" w:hint="eastAsia"/>
          <w:kern w:val="0"/>
          <w:sz w:val="32"/>
          <w:szCs w:val="32"/>
        </w:rPr>
        <w:t>万元、</w:t>
      </w:r>
      <w:r>
        <w:rPr>
          <w:rFonts w:ascii="仿宋_GB2312" w:eastAsia="仿宋_GB2312" w:hAnsi="宋体" w:hint="eastAsia"/>
          <w:kern w:val="0"/>
          <w:sz w:val="32"/>
          <w:szCs w:val="32"/>
        </w:rPr>
        <w:t>50</w:t>
      </w:r>
      <w:r>
        <w:rPr>
          <w:rFonts w:ascii="仿宋_GB2312" w:eastAsia="仿宋_GB2312" w:hAnsi="宋体" w:hint="eastAsia"/>
          <w:kern w:val="0"/>
          <w:sz w:val="32"/>
          <w:szCs w:val="32"/>
        </w:rPr>
        <w:t>万元、</w:t>
      </w:r>
      <w:r>
        <w:rPr>
          <w:rFonts w:ascii="仿宋_GB2312" w:eastAsia="仿宋_GB2312" w:hAnsi="宋体" w:hint="eastAsia"/>
          <w:kern w:val="0"/>
          <w:sz w:val="32"/>
          <w:szCs w:val="32"/>
        </w:rPr>
        <w:t>20</w:t>
      </w:r>
      <w:r>
        <w:rPr>
          <w:rFonts w:ascii="仿宋_GB2312" w:eastAsia="仿宋_GB2312" w:hAnsi="宋体" w:hint="eastAsia"/>
          <w:kern w:val="0"/>
          <w:sz w:val="32"/>
          <w:szCs w:val="32"/>
        </w:rPr>
        <w:t>万元综合资助。</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w:t>
      </w:r>
      <w:r>
        <w:rPr>
          <w:rFonts w:ascii="仿宋_GB2312" w:eastAsia="仿宋_GB2312" w:hAnsi="宋体" w:hint="eastAsia"/>
          <w:kern w:val="0"/>
          <w:sz w:val="32"/>
          <w:szCs w:val="32"/>
        </w:rPr>
        <w:t>对获奖并落户城阳的项目可</w:t>
      </w:r>
      <w:r>
        <w:rPr>
          <w:rFonts w:ascii="仿宋_GB2312" w:eastAsia="仿宋_GB2312" w:hAnsi="宋体" w:hint="eastAsia"/>
          <w:kern w:val="0"/>
          <w:sz w:val="32"/>
          <w:szCs w:val="32"/>
        </w:rPr>
        <w:t>3</w:t>
      </w:r>
      <w:r>
        <w:rPr>
          <w:rFonts w:ascii="仿宋_GB2312" w:eastAsia="仿宋_GB2312" w:hAnsi="宋体" w:hint="eastAsia"/>
          <w:kern w:val="0"/>
          <w:sz w:val="32"/>
          <w:szCs w:val="32"/>
        </w:rPr>
        <w:t>年免费使用</w:t>
      </w:r>
      <w:r>
        <w:rPr>
          <w:rFonts w:ascii="仿宋_GB2312" w:eastAsia="仿宋_GB2312" w:hAnsi="宋体" w:hint="eastAsia"/>
          <w:kern w:val="0"/>
          <w:sz w:val="32"/>
          <w:szCs w:val="32"/>
        </w:rPr>
        <w:t>300</w:t>
      </w:r>
      <w:r>
        <w:rPr>
          <w:rFonts w:ascii="仿宋_GB2312" w:eastAsia="仿宋_GB2312" w:hAnsi="宋体" w:hint="eastAsia"/>
          <w:kern w:val="0"/>
          <w:sz w:val="32"/>
          <w:szCs w:val="32"/>
        </w:rPr>
        <w:t>平方米的办</w:t>
      </w:r>
      <w:r>
        <w:rPr>
          <w:rFonts w:ascii="仿宋_GB2312" w:eastAsia="仿宋_GB2312" w:hAnsi="宋体" w:hint="eastAsia"/>
          <w:kern w:val="0"/>
          <w:sz w:val="32"/>
          <w:szCs w:val="32"/>
        </w:rPr>
        <w:lastRenderedPageBreak/>
        <w:t>公场地和</w:t>
      </w:r>
      <w:r>
        <w:rPr>
          <w:rFonts w:ascii="仿宋_GB2312" w:eastAsia="仿宋_GB2312" w:hAnsi="宋体" w:hint="eastAsia"/>
          <w:kern w:val="0"/>
          <w:sz w:val="32"/>
          <w:szCs w:val="32"/>
        </w:rPr>
        <w:t>1000</w:t>
      </w:r>
      <w:r>
        <w:rPr>
          <w:rFonts w:ascii="仿宋_GB2312" w:eastAsia="仿宋_GB2312" w:hAnsi="宋体" w:hint="eastAsia"/>
          <w:kern w:val="0"/>
          <w:sz w:val="32"/>
          <w:szCs w:val="32"/>
        </w:rPr>
        <w:t>平方米的标准厂房。</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3.</w:t>
      </w:r>
      <w:r>
        <w:rPr>
          <w:rFonts w:ascii="仿宋_GB2312" w:eastAsia="仿宋_GB2312" w:hAnsi="宋体" w:hint="eastAsia"/>
          <w:kern w:val="0"/>
          <w:sz w:val="32"/>
          <w:szCs w:val="32"/>
        </w:rPr>
        <w:t>对</w:t>
      </w:r>
      <w:r>
        <w:rPr>
          <w:rFonts w:ascii="仿宋_GB2312" w:eastAsia="仿宋_GB2312" w:hAnsi="宋体" w:hint="eastAsia"/>
          <w:kern w:val="0"/>
          <w:sz w:val="32"/>
          <w:szCs w:val="32"/>
        </w:rPr>
        <w:t>当地有较大经济贡献的项目，可获得其地方经济贡献</w:t>
      </w:r>
      <w:r>
        <w:rPr>
          <w:rFonts w:ascii="仿宋_GB2312" w:eastAsia="仿宋_GB2312" w:hAnsi="宋体" w:hint="eastAsia"/>
          <w:kern w:val="0"/>
          <w:sz w:val="32"/>
          <w:szCs w:val="32"/>
        </w:rPr>
        <w:t>50%-100%</w:t>
      </w:r>
      <w:r>
        <w:rPr>
          <w:rFonts w:ascii="仿宋_GB2312" w:eastAsia="仿宋_GB2312" w:hAnsi="宋体" w:hint="eastAsia"/>
          <w:kern w:val="0"/>
          <w:sz w:val="32"/>
          <w:szCs w:val="32"/>
        </w:rPr>
        <w:t>的资金奖励。</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4.</w:t>
      </w:r>
      <w:r>
        <w:rPr>
          <w:rFonts w:ascii="仿宋_GB2312" w:eastAsia="仿宋_GB2312" w:hAnsi="宋体" w:hint="eastAsia"/>
          <w:kern w:val="0"/>
          <w:sz w:val="32"/>
          <w:szCs w:val="32"/>
        </w:rPr>
        <w:t>对在城阳区内工作的，可申请共有产权住房，最高可无偿赠送</w:t>
      </w:r>
      <w:r>
        <w:rPr>
          <w:rFonts w:ascii="仿宋_GB2312" w:eastAsia="仿宋_GB2312" w:hAnsi="宋体" w:hint="eastAsia"/>
          <w:kern w:val="0"/>
          <w:sz w:val="32"/>
          <w:szCs w:val="32"/>
        </w:rPr>
        <w:t>30%</w:t>
      </w:r>
      <w:r>
        <w:rPr>
          <w:rFonts w:ascii="仿宋_GB2312" w:eastAsia="仿宋_GB2312" w:hAnsi="宋体" w:hint="eastAsia"/>
          <w:kern w:val="0"/>
          <w:sz w:val="32"/>
          <w:szCs w:val="32"/>
        </w:rPr>
        <w:t>产权。</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5.</w:t>
      </w:r>
      <w:r>
        <w:rPr>
          <w:rFonts w:ascii="仿宋_GB2312" w:eastAsia="仿宋_GB2312" w:hAnsi="宋体" w:hint="eastAsia"/>
          <w:kern w:val="0"/>
          <w:sz w:val="32"/>
          <w:szCs w:val="32"/>
        </w:rPr>
        <w:t>对科技含量高、产业化前景好的获奖项目，享受市、区相关创业资助。</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6.</w:t>
      </w:r>
      <w:r>
        <w:rPr>
          <w:rFonts w:ascii="仿宋_GB2312" w:eastAsia="仿宋_GB2312" w:hAnsi="宋体" w:hint="eastAsia"/>
          <w:kern w:val="0"/>
          <w:sz w:val="32"/>
          <w:szCs w:val="32"/>
        </w:rPr>
        <w:t>对于获奖项目，经评审认定后，可优先享受博士后创新创业基金的投资，同时，根据风险投资公司投资及获奖项目发展情况，政府可按照</w:t>
      </w:r>
      <w:r>
        <w:rPr>
          <w:rFonts w:ascii="仿宋_GB2312" w:eastAsia="仿宋_GB2312" w:hAnsi="宋体" w:hint="eastAsia"/>
          <w:kern w:val="0"/>
          <w:sz w:val="32"/>
          <w:szCs w:val="32"/>
        </w:rPr>
        <w:t>1:1</w:t>
      </w:r>
      <w:r>
        <w:rPr>
          <w:rFonts w:ascii="仿宋_GB2312" w:eastAsia="仿宋_GB2312" w:hAnsi="宋体" w:hint="eastAsia"/>
          <w:kern w:val="0"/>
          <w:sz w:val="32"/>
          <w:szCs w:val="32"/>
        </w:rPr>
        <w:t>比例跟投，上不封顶。</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7.</w:t>
      </w:r>
      <w:r>
        <w:rPr>
          <w:rFonts w:ascii="仿宋_GB2312" w:eastAsia="仿宋_GB2312" w:hAnsi="宋体" w:hint="eastAsia"/>
          <w:kern w:val="0"/>
          <w:sz w:val="32"/>
          <w:szCs w:val="32"/>
        </w:rPr>
        <w:t>大赛组委会协助获奖项目与创投机构开展天使投资合作。</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七、报名参赛方式</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（一）参赛项目采用线上（</w:t>
      </w:r>
      <w:r>
        <w:rPr>
          <w:rFonts w:ascii="仿宋_GB2312" w:eastAsia="仿宋_GB2312" w:hAnsi="宋体" w:hint="eastAsia"/>
          <w:kern w:val="0"/>
          <w:sz w:val="32"/>
          <w:szCs w:val="32"/>
        </w:rPr>
        <w:t>www.qdbsh.com</w:t>
      </w:r>
      <w:r>
        <w:rPr>
          <w:rFonts w:ascii="仿宋_GB2312" w:eastAsia="仿宋_GB2312" w:hAnsi="宋体" w:hint="eastAsia"/>
          <w:kern w:val="0"/>
          <w:sz w:val="32"/>
          <w:szCs w:val="32"/>
        </w:rPr>
        <w:t>）报名的方式，应按照</w:t>
      </w:r>
      <w:r>
        <w:rPr>
          <w:rFonts w:ascii="仿宋_GB2312" w:eastAsia="仿宋_GB2312" w:hAnsi="宋体" w:hint="eastAsia"/>
          <w:kern w:val="0"/>
          <w:sz w:val="32"/>
          <w:szCs w:val="32"/>
        </w:rPr>
        <w:t>要求填写参赛申请表、创业计划书，线上提交相关证明材料，主要包括博士后个人身份证、博士后或博士证书（证明）、专利证书、获奖证书、风险投资协议等。已注册的企业，除提供以上基本材料外，还需提供工商营业执照、博士后合作协议（博士后不参股企业）等相关证明材料。</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（二）创业计划书以</w:t>
      </w:r>
      <w:r>
        <w:rPr>
          <w:rFonts w:ascii="仿宋_GB2312" w:eastAsia="仿宋_GB2312" w:hAnsi="宋体" w:hint="eastAsia"/>
          <w:kern w:val="0"/>
          <w:sz w:val="32"/>
          <w:szCs w:val="32"/>
        </w:rPr>
        <w:t>PPT</w:t>
      </w:r>
      <w:r>
        <w:rPr>
          <w:rFonts w:ascii="仿宋_GB2312" w:eastAsia="仿宋_GB2312" w:hAnsi="宋体" w:hint="eastAsia"/>
          <w:kern w:val="0"/>
          <w:sz w:val="32"/>
          <w:szCs w:val="32"/>
        </w:rPr>
        <w:t>格式提交，须涵盖以下方面的内容：基本情况、团队介绍、行业痛点、产品介绍、竞争优势、盈利模式、经济效益及社会效益分析。对于已完成工商登记注册的参赛项目，报名时需提交单位概况、股权结构、法定代表人情况等。</w:t>
      </w:r>
    </w:p>
    <w:p w:rsidR="00E73B55" w:rsidRDefault="003200A4">
      <w:pPr>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八、有关要求</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（一）本次大赛纳入全国纪念博士后制度建立</w:t>
      </w:r>
      <w:r>
        <w:rPr>
          <w:rFonts w:ascii="仿宋_GB2312" w:eastAsia="仿宋_GB2312" w:hAnsi="宋体" w:hint="eastAsia"/>
          <w:kern w:val="0"/>
          <w:sz w:val="32"/>
          <w:szCs w:val="32"/>
        </w:rPr>
        <w:t>35</w:t>
      </w:r>
      <w:r>
        <w:rPr>
          <w:rFonts w:ascii="仿宋_GB2312" w:eastAsia="仿宋_GB2312" w:hAnsi="宋体" w:hint="eastAsia"/>
          <w:kern w:val="0"/>
          <w:sz w:val="32"/>
          <w:szCs w:val="32"/>
        </w:rPr>
        <w:t>周年系列活动内容之一，请各有关博士后设站（基地）单位务必高度重视，迅速在本单位转发通知，使博士后周知，各博士后科研流动站设站单位要转发本站博士，积极鼓励符合条件的人员报名参赛，参赛情况纳入对各设站单位工作考核。</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（二）有条件的单位应集体组织博士后、博士参赛，大赛对积极组织博士后人员参赛并获得较好成绩的设站（基地）单位，将评出大赛优秀组织奖若干名。</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（三）对到青岛参加大赛颁奖典礼的人才（团队），赛事组委会将按照一个项目两人的标准承担活动期间食宿费用。</w:t>
      </w:r>
    </w:p>
    <w:p w:rsidR="00E73B55" w:rsidRDefault="003200A4">
      <w:pPr>
        <w:spacing w:line="56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大赛咨询电话：</w:t>
      </w:r>
      <w:r>
        <w:rPr>
          <w:rFonts w:ascii="仿宋_GB2312" w:eastAsia="仿宋_GB2312" w:hAnsi="宋体" w:hint="eastAsia"/>
          <w:kern w:val="0"/>
          <w:sz w:val="32"/>
          <w:szCs w:val="32"/>
        </w:rPr>
        <w:t>0532-80968311</w:t>
      </w:r>
      <w:r>
        <w:rPr>
          <w:rFonts w:ascii="仿宋_GB2312" w:eastAsia="仿宋_GB2312" w:hAnsi="宋体" w:hint="eastAsia"/>
          <w:kern w:val="0"/>
          <w:sz w:val="32"/>
          <w:szCs w:val="32"/>
        </w:rPr>
        <w:t>、</w:t>
      </w:r>
      <w:r>
        <w:rPr>
          <w:rFonts w:ascii="仿宋_GB2312" w:eastAsia="仿宋_GB2312" w:hAnsi="宋体" w:hint="eastAsia"/>
          <w:kern w:val="0"/>
          <w:sz w:val="32"/>
          <w:szCs w:val="32"/>
        </w:rPr>
        <w:t>0532-58659516</w:t>
      </w:r>
      <w:r>
        <w:rPr>
          <w:rFonts w:ascii="仿宋_GB2312" w:eastAsia="仿宋_GB2312" w:hAnsi="宋体" w:hint="eastAsia"/>
          <w:kern w:val="0"/>
          <w:sz w:val="32"/>
          <w:szCs w:val="32"/>
        </w:rPr>
        <w:t>，邮箱：</w:t>
      </w:r>
      <w:hyperlink r:id="rId7" w:history="1">
        <w:r>
          <w:rPr>
            <w:rStyle w:val="a9"/>
            <w:rFonts w:ascii="仿宋_GB2312" w:eastAsia="仿宋_GB2312" w:hAnsi="宋体" w:hint="eastAsia"/>
            <w:color w:val="auto"/>
            <w:kern w:val="0"/>
            <w:sz w:val="32"/>
            <w:szCs w:val="32"/>
            <w:u w:val="none"/>
          </w:rPr>
          <w:t>bshcy@qdbsh.com</w:t>
        </w:r>
        <w:r>
          <w:rPr>
            <w:rStyle w:val="a9"/>
            <w:rFonts w:ascii="仿宋_GB2312" w:eastAsia="仿宋_GB2312" w:hAnsi="宋体" w:hint="eastAsia"/>
            <w:color w:val="auto"/>
            <w:kern w:val="0"/>
            <w:sz w:val="32"/>
            <w:szCs w:val="32"/>
            <w:u w:val="none"/>
          </w:rPr>
          <w:t>。</w:t>
        </w:r>
      </w:hyperlink>
    </w:p>
    <w:p w:rsidR="00E73B55" w:rsidRDefault="00E73B55">
      <w:pPr>
        <w:spacing w:line="560" w:lineRule="exact"/>
        <w:rPr>
          <w:rFonts w:ascii="仿宋_GB2312" w:eastAsia="仿宋_GB2312" w:hAnsi="宋体"/>
          <w:kern w:val="0"/>
          <w:sz w:val="32"/>
          <w:szCs w:val="32"/>
        </w:rPr>
      </w:pPr>
    </w:p>
    <w:p w:rsidR="00E73B55" w:rsidRDefault="003200A4">
      <w:pPr>
        <w:spacing w:line="560" w:lineRule="exact"/>
        <w:ind w:firstLineChars="300" w:firstLine="960"/>
        <w:jc w:val="left"/>
        <w:rPr>
          <w:rFonts w:ascii="仿宋_GB2312" w:eastAsia="仿宋_GB2312" w:hAnsi="宋体"/>
          <w:kern w:val="0"/>
          <w:sz w:val="32"/>
          <w:szCs w:val="32"/>
        </w:rPr>
      </w:pPr>
      <w:r>
        <w:rPr>
          <w:rFonts w:ascii="仿宋_GB2312" w:eastAsia="仿宋_GB2312" w:hAnsi="宋体" w:hint="eastAsia"/>
          <w:kern w:val="0"/>
          <w:sz w:val="32"/>
          <w:szCs w:val="32"/>
        </w:rPr>
        <w:t>中国·山东（青岛）博士后创新创业成果大赛组委会</w:t>
      </w:r>
    </w:p>
    <w:p w:rsidR="00E73B55" w:rsidRDefault="003200A4">
      <w:pPr>
        <w:spacing w:line="560" w:lineRule="exact"/>
        <w:ind w:firstLineChars="1100" w:firstLine="3520"/>
        <w:jc w:val="left"/>
        <w:rPr>
          <w:rFonts w:ascii="仿宋_GB2312" w:eastAsia="仿宋_GB2312"/>
          <w:sz w:val="32"/>
          <w:szCs w:val="32"/>
        </w:rPr>
      </w:pPr>
      <w:r>
        <w:rPr>
          <w:rFonts w:ascii="仿宋_GB2312" w:eastAsia="仿宋_GB2312" w:hint="eastAsia"/>
          <w:noProof/>
          <w:sz w:val="32"/>
          <w:szCs w:val="32"/>
        </w:rPr>
        <w:lastRenderedPageBreak/>
        <w:drawing>
          <wp:anchor distT="0" distB="0" distL="114300" distR="114300" simplePos="0" relativeHeight="1024" behindDoc="1" locked="0" layoutInCell="1" allowOverlap="1">
            <wp:simplePos x="0" y="0"/>
            <wp:positionH relativeFrom="column">
              <wp:posOffset>949325</wp:posOffset>
            </wp:positionH>
            <wp:positionV relativeFrom="paragraph">
              <wp:posOffset>60960</wp:posOffset>
            </wp:positionV>
            <wp:extent cx="3644265" cy="3640455"/>
            <wp:effectExtent l="0" t="0" r="0" b="0"/>
            <wp:wrapTight wrapText="bothSides">
              <wp:wrapPolygon edited="0">
                <wp:start x="9372" y="1695"/>
                <wp:lineTo x="8243" y="1808"/>
                <wp:lineTo x="4968" y="3165"/>
                <wp:lineTo x="4855" y="3617"/>
                <wp:lineTo x="3162" y="5312"/>
                <wp:lineTo x="2145" y="7121"/>
                <wp:lineTo x="1581" y="8929"/>
                <wp:lineTo x="1581" y="12546"/>
                <wp:lineTo x="2145" y="14355"/>
                <wp:lineTo x="3049" y="16163"/>
                <wp:lineTo x="4742" y="17972"/>
                <wp:lineTo x="4855" y="18311"/>
                <wp:lineTo x="8130" y="19780"/>
                <wp:lineTo x="9597" y="20119"/>
                <wp:lineTo x="11856" y="20119"/>
                <wp:lineTo x="13324" y="19780"/>
                <wp:lineTo x="16598" y="18311"/>
                <wp:lineTo x="16711" y="17972"/>
                <wp:lineTo x="18405" y="16163"/>
                <wp:lineTo x="19308" y="14355"/>
                <wp:lineTo x="19872" y="12546"/>
                <wp:lineTo x="19872" y="8929"/>
                <wp:lineTo x="19308" y="7121"/>
                <wp:lineTo x="18292" y="5312"/>
                <wp:lineTo x="16598" y="3617"/>
                <wp:lineTo x="16485" y="3165"/>
                <wp:lineTo x="13211" y="1808"/>
                <wp:lineTo x="12082" y="1695"/>
                <wp:lineTo x="9372" y="1695"/>
              </wp:wrapPolygon>
            </wp:wrapTight>
            <wp:docPr id="1026" name="图片 1" descr="参赛二维码"/>
            <wp:cNvGraphicFramePr/>
            <a:graphic xmlns:a="http://schemas.openxmlformats.org/drawingml/2006/main">
              <a:graphicData uri="http://schemas.openxmlformats.org/drawingml/2006/picture">
                <pic:pic xmlns:pic="http://schemas.openxmlformats.org/drawingml/2006/picture">
                  <pic:nvPicPr>
                    <pic:cNvPr id="1026" name="图片 1" descr="参赛二维码"/>
                    <pic:cNvPicPr/>
                  </pic:nvPicPr>
                  <pic:blipFill>
                    <a:blip r:embed="rId8" cstate="print"/>
                    <a:srcRect/>
                    <a:stretch>
                      <a:fillRect/>
                    </a:stretch>
                  </pic:blipFill>
                  <pic:spPr>
                    <a:xfrm>
                      <a:off x="0" y="0"/>
                      <a:ext cx="3644265" cy="3640454"/>
                    </a:xfrm>
                    <a:prstGeom prst="rect">
                      <a:avLst/>
                    </a:prstGeom>
                  </pic:spPr>
                </pic:pic>
              </a:graphicData>
            </a:graphic>
          </wp:anchor>
        </w:drawing>
      </w:r>
      <w:r>
        <w:rPr>
          <w:rFonts w:ascii="仿宋_GB2312" w:eastAsia="仿宋_GB2312" w:hAnsi="宋体" w:hint="eastAsia"/>
          <w:kern w:val="0"/>
          <w:sz w:val="32"/>
          <w:szCs w:val="32"/>
        </w:rPr>
        <w:t>2020</w:t>
      </w:r>
      <w:r>
        <w:rPr>
          <w:rFonts w:ascii="仿宋_GB2312" w:eastAsia="仿宋_GB2312" w:hAnsi="宋体" w:hint="eastAsia"/>
          <w:kern w:val="0"/>
          <w:sz w:val="32"/>
          <w:szCs w:val="32"/>
        </w:rPr>
        <w:t>年</w:t>
      </w:r>
      <w:r>
        <w:rPr>
          <w:rFonts w:ascii="仿宋_GB2312" w:eastAsia="仿宋_GB2312" w:hAnsi="宋体" w:hint="eastAsia"/>
          <w:kern w:val="0"/>
          <w:sz w:val="32"/>
          <w:szCs w:val="32"/>
        </w:rPr>
        <w:t>5</w:t>
      </w:r>
      <w:r>
        <w:rPr>
          <w:rFonts w:ascii="仿宋_GB2312" w:eastAsia="仿宋_GB2312" w:hAnsi="宋体" w:hint="eastAsia"/>
          <w:kern w:val="0"/>
          <w:sz w:val="32"/>
          <w:szCs w:val="32"/>
        </w:rPr>
        <w:t>月</w:t>
      </w:r>
      <w:r>
        <w:rPr>
          <w:rFonts w:ascii="仿宋_GB2312" w:eastAsia="仿宋_GB2312" w:hAnsi="宋体" w:hint="eastAsia"/>
          <w:kern w:val="0"/>
          <w:sz w:val="32"/>
          <w:szCs w:val="32"/>
        </w:rPr>
        <w:t>15</w:t>
      </w:r>
      <w:r>
        <w:rPr>
          <w:rFonts w:ascii="仿宋_GB2312" w:eastAsia="仿宋_GB2312" w:hAnsi="宋体" w:hint="eastAsia"/>
          <w:kern w:val="0"/>
          <w:sz w:val="32"/>
          <w:szCs w:val="32"/>
        </w:rPr>
        <w:t>日</w:t>
      </w:r>
    </w:p>
    <w:p w:rsidR="00E73B55" w:rsidRDefault="00E73B55">
      <w:pPr>
        <w:spacing w:line="560" w:lineRule="exact"/>
        <w:jc w:val="left"/>
        <w:rPr>
          <w:rFonts w:ascii="仿宋_GB2312" w:eastAsia="仿宋_GB2312"/>
          <w:sz w:val="32"/>
          <w:szCs w:val="32"/>
        </w:rPr>
      </w:pPr>
    </w:p>
    <w:p w:rsidR="00E73B55" w:rsidRDefault="00E73B55">
      <w:pPr>
        <w:jc w:val="center"/>
        <w:rPr>
          <w:rFonts w:ascii="仿宋_GB2312" w:eastAsia="仿宋_GB2312"/>
          <w:sz w:val="32"/>
          <w:szCs w:val="32"/>
        </w:rPr>
      </w:pPr>
    </w:p>
    <w:p w:rsidR="00E73B55" w:rsidRDefault="00E73B55">
      <w:pPr>
        <w:spacing w:line="560" w:lineRule="exact"/>
        <w:jc w:val="left"/>
        <w:rPr>
          <w:rFonts w:ascii="仿宋_GB2312" w:eastAsia="仿宋_GB2312"/>
          <w:sz w:val="32"/>
          <w:szCs w:val="32"/>
        </w:rPr>
      </w:pPr>
    </w:p>
    <w:p w:rsidR="00E73B55" w:rsidRDefault="00E73B55">
      <w:pPr>
        <w:spacing w:line="560" w:lineRule="exact"/>
        <w:jc w:val="left"/>
        <w:rPr>
          <w:rFonts w:ascii="仿宋_GB2312" w:eastAsia="仿宋_GB2312"/>
          <w:sz w:val="32"/>
          <w:szCs w:val="32"/>
        </w:rPr>
      </w:pPr>
    </w:p>
    <w:p w:rsidR="00E73B55" w:rsidRDefault="00E73B55">
      <w:pPr>
        <w:spacing w:line="560" w:lineRule="exact"/>
        <w:jc w:val="left"/>
        <w:rPr>
          <w:rFonts w:ascii="仿宋_GB2312" w:eastAsia="仿宋_GB2312"/>
          <w:sz w:val="32"/>
          <w:szCs w:val="32"/>
        </w:rPr>
      </w:pPr>
    </w:p>
    <w:p w:rsidR="00E73B55" w:rsidRDefault="00E73B55">
      <w:pPr>
        <w:spacing w:line="560" w:lineRule="exact"/>
        <w:jc w:val="left"/>
        <w:rPr>
          <w:rFonts w:ascii="仿宋_GB2312" w:eastAsia="仿宋_GB2312"/>
          <w:sz w:val="32"/>
          <w:szCs w:val="32"/>
        </w:rPr>
      </w:pPr>
    </w:p>
    <w:p w:rsidR="00E73B55" w:rsidRDefault="00E73B55">
      <w:pPr>
        <w:spacing w:line="560" w:lineRule="exact"/>
        <w:jc w:val="left"/>
        <w:rPr>
          <w:rFonts w:ascii="仿宋_GB2312" w:eastAsia="仿宋_GB2312"/>
          <w:sz w:val="32"/>
          <w:szCs w:val="32"/>
        </w:rPr>
      </w:pPr>
    </w:p>
    <w:p w:rsidR="00E73B55" w:rsidRDefault="003200A4">
      <w:pPr>
        <w:spacing w:line="560" w:lineRule="exact"/>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报名二维码</w:t>
      </w:r>
      <w:r>
        <w:rPr>
          <w:rFonts w:ascii="仿宋_GB2312" w:eastAsia="仿宋_GB2312" w:hint="eastAsia"/>
          <w:sz w:val="32"/>
          <w:szCs w:val="32"/>
        </w:rPr>
        <w:br w:type="page"/>
      </w:r>
      <w:bookmarkStart w:id="0" w:name="_GoBack"/>
      <w:bookmarkEnd w:id="0"/>
    </w:p>
    <w:sectPr w:rsidR="00E73B55">
      <w:footerReference w:type="default" r:id="rId9"/>
      <w:pgSz w:w="11906" w:h="16838"/>
      <w:pgMar w:top="2098" w:right="1474" w:bottom="1985" w:left="1588" w:header="851" w:footer="992" w:gutter="0"/>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A4" w:rsidRDefault="003200A4">
      <w:r>
        <w:separator/>
      </w:r>
    </w:p>
  </w:endnote>
  <w:endnote w:type="continuationSeparator" w:id="0">
    <w:p w:rsidR="003200A4" w:rsidRDefault="0032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文星标宋">
    <w:charset w:val="86"/>
    <w:family w:val="auto"/>
    <w:pitch w:val="default"/>
    <w:sig w:usb0="00000001" w:usb1="080E0000" w:usb2="00000000" w:usb3="00000000" w:csb0="00040001" w:csb1="00000000"/>
  </w:font>
  <w:font w:name="仿宋_GB2312">
    <w:altName w:val="仿宋"/>
    <w:charset w:val="86"/>
    <w:family w:val="modern"/>
    <w:pitch w:val="default"/>
    <w:sig w:usb0="00000001" w:usb1="080E0000" w:usb2="00000000" w:usb3="00000000" w:csb0="00040000" w:csb1="00000000"/>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55" w:rsidRDefault="003200A4">
    <w:pPr>
      <w:pStyle w:val="a5"/>
    </w:pPr>
    <w:r>
      <w:rPr>
        <w:noProof/>
      </w:rPr>
      <mc:AlternateContent>
        <mc:Choice Requires="wps">
          <w:drawing>
            <wp:anchor distT="0" distB="0" distL="0" distR="0" simplePos="0" relativeHeight="1024" behindDoc="0" locked="0" layoutInCell="1" allowOverlap="1">
              <wp:simplePos x="0" y="0"/>
              <wp:positionH relativeFrom="margin">
                <wp:align>outside</wp:align>
              </wp:positionH>
              <wp:positionV relativeFrom="paragraph">
                <wp:posOffset>-323850</wp:posOffset>
              </wp:positionV>
              <wp:extent cx="1828800" cy="1828800"/>
              <wp:effectExtent l="0" t="0" r="0" b="0"/>
              <wp:wrapNone/>
              <wp:docPr id="4097" name="409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E73B55" w:rsidRDefault="003200A4">
                          <w:pPr>
                            <w:pStyle w:val="a5"/>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A637E1">
                            <w:rPr>
                              <w:rFonts w:ascii="宋体" w:hAnsi="宋体"/>
                              <w:noProof/>
                              <w:sz w:val="28"/>
                              <w:szCs w:val="28"/>
                            </w:rPr>
                            <w:t>6</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wps:txbx>
                    <wps:bodyPr wrap="none" lIns="0" tIns="0" rIns="0" bIns="0" upright="1">
                      <a:spAutoFit/>
                    </wps:bodyPr>
                  </wps:wsp>
                </a:graphicData>
              </a:graphic>
            </wp:anchor>
          </w:drawing>
        </mc:Choice>
        <mc:Fallback>
          <w:pict>
            <v:rect id="4097" o:spid="_x0000_s1026" style="position:absolute;margin-left:92.8pt;margin-top:-25.5pt;width:2in;height:2in;z-index:1024;visibility:visible;mso-wrap-style:none;mso-wrap-distance-left:0;mso-wrap-distance-top:0;mso-wrap-distance-right:0;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" filled="f" stroked="f">
              <v:textbox style="mso-fit-shape-to-text:t" inset="0,0,0,0">
                <w:txbxContent>
                  <w:p w:rsidR="00E73B55" w:rsidRDefault="003200A4">
                    <w:pPr>
                      <w:pStyle w:val="a5"/>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A637E1">
                      <w:rPr>
                        <w:rFonts w:ascii="宋体" w:hAnsi="宋体"/>
                        <w:noProof/>
                        <w:sz w:val="28"/>
                        <w:szCs w:val="28"/>
                      </w:rPr>
                      <w:t>6</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A4" w:rsidRDefault="003200A4">
      <w:r>
        <w:separator/>
      </w:r>
    </w:p>
  </w:footnote>
  <w:footnote w:type="continuationSeparator" w:id="0">
    <w:p w:rsidR="003200A4" w:rsidRDefault="00320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55"/>
    <w:rsid w:val="003200A4"/>
    <w:rsid w:val="00A637E1"/>
    <w:rsid w:val="00E73B55"/>
    <w:rsid w:val="5C9202C7"/>
    <w:rsid w:val="6BC113B2"/>
    <w:rsid w:val="75F8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52D3E0-AC88-4B6B-8F5A-ECE5A263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qFormat="1"/>
    <w:lsdException w:name="Body Text" w:uiPriority="1"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uiPriority w:val="9"/>
    <w:qFormat/>
    <w:pPr>
      <w:keepNext/>
      <w:keepLines/>
      <w:spacing w:line="560" w:lineRule="exact"/>
      <w:ind w:firstLineChars="200" w:firstLine="200"/>
      <w:outlineLvl w:val="0"/>
    </w:pPr>
    <w:rPr>
      <w:rFonts w:ascii="黑体" w:eastAsia="黑体" w:hAnsi="黑体" w:cs="黑体"/>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ind w:left="120"/>
      <w:jc w:val="left"/>
    </w:pPr>
    <w:rPr>
      <w:rFonts w:ascii="宋体" w:hAnsi="宋体"/>
      <w:kern w:val="0"/>
      <w:sz w:val="32"/>
      <w:szCs w:val="32"/>
      <w:lang w:val="zh-CN" w:bidi="zh-CN"/>
    </w:rPr>
  </w:style>
  <w:style w:type="paragraph" w:styleId="a4">
    <w:name w:val="Date"/>
    <w:basedOn w:val="a"/>
    <w:next w:val="a"/>
    <w:link w:val="Char"/>
    <w:uiPriority w:val="99"/>
    <w:qFormat/>
    <w:pPr>
      <w:ind w:leftChars="2500" w:left="10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Pr>
      <w:rFonts w:cs="Times New Roman"/>
    </w:rPr>
  </w:style>
  <w:style w:type="character" w:styleId="a9">
    <w:name w:val="Hyperlink"/>
    <w:basedOn w:val="a0"/>
    <w:uiPriority w:val="99"/>
    <w:qFormat/>
    <w:rPr>
      <w:color w:val="0000FF"/>
      <w:u w:val="single"/>
    </w:rPr>
  </w:style>
  <w:style w:type="character" w:customStyle="1" w:styleId="fontstyle01">
    <w:name w:val="fontstyle01"/>
    <w:basedOn w:val="a0"/>
    <w:qFormat/>
    <w:rPr>
      <w:rFonts w:ascii="仿宋" w:eastAsia="仿宋" w:hAnsi="仿宋" w:hint="eastAsia"/>
      <w:color w:val="000000"/>
      <w:sz w:val="32"/>
      <w:szCs w:val="32"/>
    </w:rPr>
  </w:style>
  <w:style w:type="character" w:customStyle="1" w:styleId="Char">
    <w:name w:val="日期 Char"/>
    <w:basedOn w:val="a0"/>
    <w:link w:val="a4"/>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shcy@qdbsh.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368</Words>
  <Characters>2098</Characters>
  <Application>Microsoft Office Word</Application>
  <DocSecurity>0</DocSecurity>
  <Lines>17</Lines>
  <Paragraphs>4</Paragraphs>
  <ScaleCrop>false</ScaleCrop>
  <Company>Home</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hy</cp:lastModifiedBy>
  <cp:revision>2</cp:revision>
  <cp:lastPrinted>2020-07-06T01:21:00Z</cp:lastPrinted>
  <dcterms:created xsi:type="dcterms:W3CDTF">2020-04-09T08:48:00Z</dcterms:created>
  <dcterms:modified xsi:type="dcterms:W3CDTF">2020-07-06T07:23:00Z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